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B266B0" w:rsidR="00CD4C7B" w:rsidP="00CD4C7B" w:rsidRDefault="00CD4C7B" w14:paraId="6C738619" w14:textId="77533B3D">
      <w:pPr>
        <w:pStyle w:val="Header"/>
        <w:tabs>
          <w:tab w:val="right" w:pos="9639"/>
        </w:tabs>
        <w:rPr>
          <w:bCs/>
          <w:i/>
          <w:noProof w:val="0"/>
          <w:sz w:val="24"/>
          <w:szCs w:val="24"/>
        </w:rPr>
      </w:pPr>
      <w:r w:rsidRPr="00B266B0">
        <w:rPr>
          <w:bCs/>
          <w:noProof w:val="0"/>
          <w:sz w:val="24"/>
          <w:szCs w:val="24"/>
        </w:rPr>
        <w:t>3GPP T</w:t>
      </w:r>
      <w:bookmarkStart w:name="_Ref452454252" w:id="0"/>
      <w:bookmarkEnd w:id="0"/>
      <w:r w:rsidRPr="00B266B0">
        <w:rPr>
          <w:bCs/>
          <w:noProof w:val="0"/>
          <w:sz w:val="24"/>
          <w:szCs w:val="24"/>
        </w:rPr>
        <w:t xml:space="preserve">SG-RAN </w:t>
      </w:r>
      <w:r w:rsidR="003454FC">
        <w:rPr>
          <w:noProof w:val="0"/>
          <w:sz w:val="24"/>
          <w:szCs w:val="24"/>
        </w:rPr>
        <w:t>WG3</w:t>
      </w:r>
      <w:r w:rsidRPr="00B266B0">
        <w:rPr>
          <w:noProof w:val="0"/>
          <w:sz w:val="24"/>
          <w:szCs w:val="24"/>
        </w:rPr>
        <w:t xml:space="preserve"> </w:t>
      </w:r>
      <w:r w:rsidR="0052656C">
        <w:rPr>
          <w:noProof w:val="0"/>
          <w:sz w:val="24"/>
          <w:szCs w:val="24"/>
        </w:rPr>
        <w:t>Meeting #1</w:t>
      </w:r>
      <w:r w:rsidR="000E1EEF">
        <w:rPr>
          <w:noProof w:val="0"/>
          <w:sz w:val="24"/>
          <w:szCs w:val="24"/>
        </w:rPr>
        <w:t>20</w:t>
      </w:r>
      <w:r w:rsidRPr="00B266B0">
        <w:rPr>
          <w:bCs/>
          <w:noProof w:val="0"/>
          <w:sz w:val="24"/>
          <w:szCs w:val="24"/>
        </w:rPr>
        <w:tab/>
      </w:r>
      <w:r w:rsidRPr="00B266B0">
        <w:rPr>
          <w:rFonts w:hint="eastAsia"/>
          <w:bCs/>
          <w:noProof w:val="0"/>
          <w:sz w:val="24"/>
          <w:szCs w:val="24"/>
        </w:rPr>
        <w:t>R</w:t>
      </w:r>
      <w:r w:rsidR="003454FC">
        <w:rPr>
          <w:bCs/>
          <w:noProof w:val="0"/>
          <w:sz w:val="24"/>
          <w:szCs w:val="24"/>
        </w:rPr>
        <w:t>3</w:t>
      </w:r>
      <w:r w:rsidRPr="00B266B0">
        <w:rPr>
          <w:rFonts w:hint="eastAsia"/>
          <w:bCs/>
          <w:noProof w:val="0"/>
          <w:sz w:val="24"/>
          <w:szCs w:val="24"/>
        </w:rPr>
        <w:t>-</w:t>
      </w:r>
      <w:r w:rsidR="002049F8">
        <w:rPr>
          <w:bCs/>
          <w:noProof w:val="0"/>
          <w:sz w:val="24"/>
          <w:szCs w:val="24"/>
        </w:rPr>
        <w:t>232586</w:t>
      </w:r>
    </w:p>
    <w:p w:rsidRPr="003139CE" w:rsidR="00CD4C7B" w:rsidP="00CD4C7B" w:rsidRDefault="000E1EEF" w14:paraId="26EC66FE" w14:textId="0297EA01">
      <w:pPr>
        <w:pStyle w:val="Header"/>
        <w:tabs>
          <w:tab w:val="right" w:pos="9639"/>
        </w:tabs>
        <w:rPr>
          <w:bCs/>
          <w:noProof w:val="0"/>
          <w:sz w:val="24"/>
          <w:szCs w:val="24"/>
          <w:lang w:val="en-US"/>
        </w:rPr>
      </w:pPr>
      <w:r>
        <w:rPr>
          <w:rFonts w:cs="Arial"/>
          <w:sz w:val="24"/>
          <w:szCs w:val="24"/>
          <w:lang w:val="en-US"/>
        </w:rPr>
        <w:t>Incheon, Korea</w:t>
      </w:r>
      <w:r w:rsidRPr="00A15EDA" w:rsidR="00A15EDA">
        <w:rPr>
          <w:rFonts w:cs="Arial"/>
          <w:sz w:val="24"/>
          <w:szCs w:val="24"/>
          <w:lang w:val="en-US"/>
        </w:rPr>
        <w:t xml:space="preserve">, </w:t>
      </w:r>
      <w:r>
        <w:rPr>
          <w:rFonts w:cs="Arial"/>
          <w:sz w:val="24"/>
          <w:szCs w:val="24"/>
          <w:lang w:val="en-US"/>
        </w:rPr>
        <w:t>22</w:t>
      </w:r>
      <w:r w:rsidRPr="00A15EDA" w:rsidR="00A15EDA">
        <w:rPr>
          <w:rFonts w:cs="Arial"/>
          <w:sz w:val="24"/>
          <w:szCs w:val="24"/>
          <w:lang w:val="en-US"/>
        </w:rPr>
        <w:t xml:space="preserve"> – 26 </w:t>
      </w:r>
      <w:r>
        <w:rPr>
          <w:rFonts w:cs="Arial"/>
          <w:sz w:val="24"/>
          <w:szCs w:val="24"/>
          <w:lang w:val="en-US"/>
        </w:rPr>
        <w:t>May</w:t>
      </w:r>
      <w:r w:rsidRPr="003139CE" w:rsidR="003139CE">
        <w:rPr>
          <w:rFonts w:cs="Arial"/>
          <w:sz w:val="24"/>
          <w:szCs w:val="24"/>
          <w:lang w:val="en-US"/>
        </w:rPr>
        <w:t>, 2023</w:t>
      </w:r>
    </w:p>
    <w:p w:rsidRPr="003139CE" w:rsidR="00CD4C7B" w:rsidP="00CD4C7B" w:rsidRDefault="00CD4C7B" w14:paraId="5637E621" w14:textId="77777777">
      <w:pPr>
        <w:pStyle w:val="Header"/>
        <w:rPr>
          <w:bCs/>
          <w:noProof w:val="0"/>
          <w:sz w:val="24"/>
          <w:lang w:val="en-US"/>
        </w:rPr>
      </w:pPr>
    </w:p>
    <w:p w:rsidRPr="003139CE" w:rsidR="00CD4C7B" w:rsidP="00CD4C7B" w:rsidRDefault="00CD4C7B" w14:paraId="3984613F" w14:textId="77777777">
      <w:pPr>
        <w:pStyle w:val="Header"/>
        <w:rPr>
          <w:bCs/>
          <w:noProof w:val="0"/>
          <w:sz w:val="24"/>
          <w:lang w:val="en-US"/>
        </w:rPr>
      </w:pPr>
    </w:p>
    <w:p w:rsidRPr="007923B6" w:rsidR="00CD4C7B" w:rsidP="00CD4C7B" w:rsidRDefault="00CD4C7B" w14:paraId="26937EE3" w14:textId="7BFD1AFB">
      <w:pPr>
        <w:pStyle w:val="CRCoverPage"/>
        <w:tabs>
          <w:tab w:val="left" w:pos="1985"/>
        </w:tabs>
        <w:rPr>
          <w:rFonts w:cs="Arial"/>
          <w:b/>
          <w:bCs/>
          <w:sz w:val="24"/>
          <w:lang w:val="en-US" w:eastAsia="ja-JP"/>
        </w:rPr>
      </w:pPr>
      <w:r w:rsidRPr="007923B6">
        <w:rPr>
          <w:rFonts w:cs="Arial"/>
          <w:b/>
          <w:bCs/>
          <w:sz w:val="24"/>
          <w:lang w:val="en-US"/>
        </w:rPr>
        <w:t>Agenda item:</w:t>
      </w:r>
      <w:r w:rsidRPr="007923B6">
        <w:rPr>
          <w:rFonts w:cs="Arial"/>
          <w:b/>
          <w:bCs/>
          <w:sz w:val="24"/>
          <w:lang w:val="en-US"/>
        </w:rPr>
        <w:tab/>
      </w:r>
      <w:r w:rsidR="00113F5F">
        <w:rPr>
          <w:rFonts w:cs="Arial"/>
          <w:b/>
          <w:bCs/>
          <w:sz w:val="24"/>
          <w:lang w:val="en-US" w:eastAsia="ja-JP"/>
        </w:rPr>
        <w:t>11.</w:t>
      </w:r>
      <w:r w:rsidR="0060324C">
        <w:rPr>
          <w:rFonts w:cs="Arial"/>
          <w:b/>
          <w:bCs/>
          <w:sz w:val="24"/>
          <w:lang w:val="en-US" w:eastAsia="ja-JP"/>
        </w:rPr>
        <w:t>4</w:t>
      </w:r>
    </w:p>
    <w:p w:rsidRPr="00B266B0" w:rsidR="00CD4C7B" w:rsidP="00CD4C7B" w:rsidRDefault="00CD4C7B" w14:paraId="03778B82" w14:textId="77777777">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05563E">
        <w:rPr>
          <w:rFonts w:ascii="Arial" w:hAnsi="Arial" w:cs="Arial"/>
          <w:b/>
          <w:bCs/>
          <w:sz w:val="24"/>
        </w:rPr>
        <w:t xml:space="preserve">Nokia, </w:t>
      </w:r>
      <w:r w:rsidR="005D4274">
        <w:rPr>
          <w:rFonts w:ascii="Arial" w:hAnsi="Arial" w:cs="Arial"/>
          <w:b/>
          <w:bCs/>
          <w:sz w:val="24"/>
        </w:rPr>
        <w:t>Nokia</w:t>
      </w:r>
      <w:r w:rsidRPr="00CF34B7" w:rsidR="0005563E">
        <w:rPr>
          <w:rFonts w:ascii="Arial" w:hAnsi="Arial" w:cs="Arial"/>
          <w:b/>
          <w:bCs/>
          <w:sz w:val="24"/>
        </w:rPr>
        <w:t xml:space="preserve"> Shanghai Bell</w:t>
      </w:r>
    </w:p>
    <w:p w:rsidR="00CD4C7B" w:rsidP="7D87F8A4" w:rsidRDefault="00CD4C7B" w14:paraId="1C2FA0D1" w14:textId="1D4C9E82">
      <w:pPr>
        <w:ind w:left="1985" w:hanging="1985"/>
        <w:rPr>
          <w:rFonts w:ascii="Arial" w:hAnsi="Arial" w:cs="Arial"/>
          <w:b/>
          <w:bCs/>
          <w:sz w:val="24"/>
          <w:szCs w:val="24"/>
        </w:rPr>
      </w:pPr>
      <w:r w:rsidRPr="7D87F8A4">
        <w:rPr>
          <w:rFonts w:ascii="Arial" w:hAnsi="Arial" w:cs="Arial"/>
          <w:b/>
          <w:bCs/>
          <w:sz w:val="24"/>
          <w:szCs w:val="24"/>
        </w:rPr>
        <w:t>Title:</w:t>
      </w:r>
      <w:r>
        <w:tab/>
      </w:r>
      <w:r w:rsidRPr="7D87F8A4" w:rsidR="0060324C">
        <w:rPr>
          <w:rFonts w:ascii="Arial" w:hAnsi="Arial" w:cs="Arial"/>
          <w:b/>
          <w:bCs/>
          <w:sz w:val="24"/>
          <w:szCs w:val="24"/>
        </w:rPr>
        <w:t>Discussion o</w:t>
      </w:r>
      <w:r w:rsidRPr="7D87F8A4" w:rsidR="4F8B651A">
        <w:rPr>
          <w:rFonts w:ascii="Arial" w:hAnsi="Arial" w:cs="Arial"/>
          <w:b/>
          <w:bCs/>
          <w:sz w:val="24"/>
          <w:szCs w:val="24"/>
        </w:rPr>
        <w:t>n</w:t>
      </w:r>
      <w:r w:rsidRPr="7D87F8A4" w:rsidR="0060324C">
        <w:rPr>
          <w:rFonts w:ascii="Arial" w:hAnsi="Arial" w:cs="Arial"/>
          <w:b/>
          <w:bCs/>
          <w:sz w:val="24"/>
          <w:szCs w:val="24"/>
        </w:rPr>
        <w:t xml:space="preserve"> </w:t>
      </w:r>
      <w:r w:rsidRPr="7D87F8A4" w:rsidR="00F940F2">
        <w:rPr>
          <w:rFonts w:ascii="Arial" w:hAnsi="Arial" w:cs="Arial"/>
          <w:b/>
          <w:bCs/>
          <w:sz w:val="24"/>
          <w:szCs w:val="24"/>
        </w:rPr>
        <w:t>threshold-based RVQoE reporting and deactivation mechanism</w:t>
      </w:r>
    </w:p>
    <w:p w:rsidRPr="00B266B0" w:rsidR="00CD4C7B" w:rsidP="00CD4C7B" w:rsidRDefault="00CD4C7B" w14:paraId="6A393A4E" w14:textId="355E4268">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60324C">
        <w:rPr>
          <w:rFonts w:ascii="Arial" w:hAnsi="Arial" w:cs="Arial"/>
          <w:b/>
          <w:bCs/>
          <w:sz w:val="24"/>
        </w:rPr>
        <w:t>Discussion and Decision</w:t>
      </w:r>
    </w:p>
    <w:p w:rsidR="00CD4C7B" w:rsidP="00CD4C7B" w:rsidRDefault="00CD4C7B" w14:paraId="307EAE02" w14:textId="3AE6160C">
      <w:pPr>
        <w:pStyle w:val="Heading1"/>
      </w:pPr>
      <w:r w:rsidRPr="006E13D1">
        <w:t>1</w:t>
      </w:r>
      <w:r w:rsidRPr="006E13D1">
        <w:tab/>
      </w:r>
      <w:r w:rsidR="0056573F">
        <w:t>Introduction</w:t>
      </w:r>
    </w:p>
    <w:p w:rsidR="00A358E4" w:rsidP="00A358E4" w:rsidRDefault="00A358E4" w14:paraId="27E89C8F" w14:textId="4FDE0233">
      <w:r>
        <w:t xml:space="preserve">RAN3#118 had already agreed to introduce buffer level as a threshold-based trigger for RVQoE reporting. </w:t>
      </w:r>
      <w:r w:rsidR="002A4B75">
        <w:t>Moreover, in RAN3#119 it was agreed that an information with respect to the deactivation of RVQoE is transferred via the F1 interface and that there is no need to further introduce a pause/resume mechanism in Rel-18.</w:t>
      </w:r>
    </w:p>
    <w:p w:rsidR="002A4B75" w:rsidP="00A358E4" w:rsidRDefault="002A4B75" w14:paraId="13072E41" w14:textId="2E867BB1">
      <w:r>
        <w:t>Following the above topics of threshold-based trigger for RVQoE reporting and transfer of RVQoE deactivation information over F1, in the last RAN3#119bis-e meeting it was further agreed:</w:t>
      </w:r>
    </w:p>
    <w:p w:rsidR="002A4B75" w:rsidP="002A4B75" w:rsidRDefault="002A4B75" w14:paraId="44D7DFD4" w14:textId="77777777">
      <w:pPr>
        <w:widowControl w:val="0"/>
        <w:ind w:left="144" w:hanging="144"/>
        <w:rPr>
          <w:rFonts w:ascii="Calibri" w:hAnsi="Calibri" w:cs="Calibri"/>
          <w:i/>
          <w:iCs/>
          <w:color w:val="00B050"/>
          <w:kern w:val="2"/>
          <w:sz w:val="16"/>
          <w:szCs w:val="16"/>
          <w:lang w:val="en-US"/>
        </w:rPr>
      </w:pPr>
      <w:r>
        <w:rPr>
          <w:rFonts w:ascii="Calibri" w:hAnsi="Calibri" w:cs="Calibri"/>
          <w:i/>
          <w:iCs/>
          <w:color w:val="00B050"/>
          <w:kern w:val="2"/>
          <w:sz w:val="16"/>
          <w:szCs w:val="16"/>
        </w:rPr>
        <w:t>If a UE is configured with periodic RVQoE reporting that automatically starts at the beginning of the application session or immediately upon reception of RVQoE configuration, it cannot be configured with a threshold-based trigger at the same time.</w:t>
      </w:r>
    </w:p>
    <w:p w:rsidR="002A4B75" w:rsidP="002A4B75" w:rsidRDefault="002A4B75" w14:paraId="17FE54CF" w14:textId="33BF9ECA">
      <w:pPr>
        <w:widowControl w:val="0"/>
        <w:ind w:left="144" w:hanging="144"/>
        <w:rPr>
          <w:rFonts w:ascii="Calibri" w:hAnsi="Calibri" w:cs="Calibri"/>
          <w:i/>
          <w:iCs/>
          <w:color w:val="00B050"/>
          <w:kern w:val="2"/>
          <w:sz w:val="16"/>
          <w:szCs w:val="16"/>
        </w:rPr>
      </w:pPr>
      <w:r>
        <w:rPr>
          <w:rFonts w:ascii="Calibri" w:hAnsi="Calibri" w:cs="Calibri"/>
          <w:i/>
          <w:iCs/>
          <w:color w:val="00B050"/>
          <w:kern w:val="2"/>
          <w:sz w:val="16"/>
          <w:szCs w:val="16"/>
        </w:rPr>
        <w:t>Discuss whether threshold-based buffer level reporting starts: i) when buffer level is greater than a threshold or ii) when buffer level is below a threshold or iii) when buffer level is between two thresholds.</w:t>
      </w:r>
    </w:p>
    <w:p w:rsidR="002A4B75" w:rsidP="002A4B75" w:rsidRDefault="002A4B75" w14:paraId="1F88AC6A" w14:textId="77777777">
      <w:pPr>
        <w:widowControl w:val="0"/>
        <w:ind w:left="144" w:hanging="144"/>
        <w:rPr>
          <w:rFonts w:ascii="Calibri" w:hAnsi="Calibri" w:cs="Calibri"/>
          <w:i/>
          <w:iCs/>
          <w:color w:val="00B050"/>
          <w:kern w:val="2"/>
          <w:sz w:val="16"/>
          <w:szCs w:val="16"/>
          <w:lang w:val="en-US"/>
        </w:rPr>
      </w:pPr>
      <w:r>
        <w:rPr>
          <w:rFonts w:ascii="Calibri" w:hAnsi="Calibri" w:cs="Calibri"/>
          <w:i/>
          <w:iCs/>
          <w:color w:val="00B050"/>
          <w:kern w:val="2"/>
          <w:sz w:val="16"/>
          <w:szCs w:val="16"/>
        </w:rPr>
        <w:t>RAN3 should discuss how the UE should send the RVQoE reports after the threshold is met, e.g., the following options:</w:t>
      </w:r>
    </w:p>
    <w:p w:rsidR="002A4B75" w:rsidP="002A4B75" w:rsidRDefault="002A4B75" w14:paraId="594B2491" w14:textId="77777777">
      <w:pPr>
        <w:widowControl w:val="0"/>
        <w:ind w:left="144" w:hanging="144"/>
        <w:rPr>
          <w:rFonts w:ascii="Calibri" w:hAnsi="Calibri" w:cs="Calibri"/>
          <w:i/>
          <w:iCs/>
          <w:color w:val="00B050"/>
          <w:kern w:val="2"/>
          <w:sz w:val="16"/>
          <w:szCs w:val="16"/>
        </w:rPr>
      </w:pPr>
      <w:r>
        <w:rPr>
          <w:rFonts w:ascii="Calibri" w:hAnsi="Calibri" w:cs="Calibri"/>
          <w:i/>
          <w:iCs/>
          <w:color w:val="00B050"/>
          <w:kern w:val="2"/>
          <w:sz w:val="16"/>
          <w:szCs w:val="16"/>
        </w:rPr>
        <w:t>Option 1: Just once (after receiving this RVQoE report, gNB might reconfigure this threshold value to get additional reports)</w:t>
      </w:r>
    </w:p>
    <w:p w:rsidR="002A4B75" w:rsidP="002A4B75" w:rsidRDefault="002A4B75" w14:paraId="32C6A226" w14:textId="77777777">
      <w:pPr>
        <w:widowControl w:val="0"/>
        <w:ind w:left="144" w:hanging="144"/>
        <w:rPr>
          <w:rFonts w:ascii="Calibri" w:hAnsi="Calibri" w:cs="Calibri"/>
          <w:i/>
          <w:iCs/>
          <w:color w:val="00B050"/>
          <w:kern w:val="2"/>
          <w:sz w:val="16"/>
          <w:szCs w:val="16"/>
        </w:rPr>
      </w:pPr>
      <w:r>
        <w:rPr>
          <w:rFonts w:ascii="Calibri" w:hAnsi="Calibri" w:cs="Calibri"/>
          <w:i/>
          <w:iCs/>
          <w:color w:val="00B050"/>
          <w:kern w:val="2"/>
          <w:sz w:val="16"/>
          <w:szCs w:val="16"/>
        </w:rPr>
        <w:t>Option 2: Periodically based on a gNB configured reporting periodicity</w:t>
      </w:r>
    </w:p>
    <w:p w:rsidR="002A4B75" w:rsidP="002A4B75" w:rsidRDefault="002A4B75" w14:paraId="09474C9F" w14:textId="30B8A475">
      <w:pPr>
        <w:widowControl w:val="0"/>
        <w:ind w:left="144" w:hanging="144"/>
        <w:rPr>
          <w:rFonts w:ascii="Calibri" w:hAnsi="Calibri" w:cs="Calibri"/>
          <w:i/>
          <w:iCs/>
          <w:color w:val="00B050"/>
          <w:kern w:val="2"/>
          <w:sz w:val="16"/>
          <w:szCs w:val="16"/>
        </w:rPr>
      </w:pPr>
      <w:r>
        <w:rPr>
          <w:rFonts w:ascii="Calibri" w:hAnsi="Calibri" w:cs="Calibri"/>
          <w:i/>
          <w:iCs/>
          <w:color w:val="00B050"/>
          <w:kern w:val="2"/>
          <w:sz w:val="16"/>
          <w:szCs w:val="16"/>
        </w:rPr>
        <w:t>Option 3: A certain number of times based on gNB configured report amount</w:t>
      </w:r>
    </w:p>
    <w:p w:rsidR="002A4B75" w:rsidP="002A4B75" w:rsidRDefault="002A4B75" w14:paraId="502581D5" w14:textId="77777777">
      <w:pPr>
        <w:widowControl w:val="0"/>
        <w:ind w:left="144" w:hanging="144"/>
        <w:rPr>
          <w:rFonts w:ascii="Calibri" w:hAnsi="Calibri" w:cs="Calibri"/>
          <w:i/>
          <w:iCs/>
          <w:color w:val="00B050"/>
          <w:kern w:val="2"/>
          <w:sz w:val="16"/>
          <w:szCs w:val="16"/>
          <w:lang w:val="en-US"/>
        </w:rPr>
      </w:pPr>
      <w:r>
        <w:rPr>
          <w:rFonts w:ascii="Calibri" w:hAnsi="Calibri" w:cs="Calibri"/>
          <w:i/>
          <w:iCs/>
          <w:color w:val="00B050"/>
          <w:kern w:val="2"/>
          <w:sz w:val="16"/>
          <w:szCs w:val="16"/>
        </w:rPr>
        <w:t>WA: A class-2 procedure is used for DU to deactivate the RVQoE reporting over F1AP.</w:t>
      </w:r>
    </w:p>
    <w:p w:rsidR="002A4B75" w:rsidP="002A4B75" w:rsidRDefault="002A4B75" w14:paraId="3689EC27" w14:textId="27F36CB3">
      <w:pPr>
        <w:widowControl w:val="0"/>
        <w:ind w:left="144" w:hanging="144"/>
      </w:pPr>
      <w:r>
        <w:t xml:space="preserve">Whereas the following </w:t>
      </w:r>
      <w:r w:rsidR="00150F24">
        <w:t>were</w:t>
      </w:r>
      <w:r>
        <w:t xml:space="preserve"> left for further discussion:</w:t>
      </w:r>
    </w:p>
    <w:p w:rsidR="002A4B75" w:rsidP="002A4B75" w:rsidRDefault="002A4B75" w14:paraId="677DDBCA" w14:textId="77777777">
      <w:pPr>
        <w:widowControl w:val="0"/>
        <w:ind w:left="144" w:hanging="144"/>
        <w:rPr>
          <w:rFonts w:ascii="Calibri" w:hAnsi="Calibri" w:cs="Calibri"/>
          <w:i/>
          <w:color w:val="FF0000"/>
          <w:kern w:val="2"/>
          <w:sz w:val="16"/>
          <w:szCs w:val="16"/>
          <w:lang w:val="en-US"/>
        </w:rPr>
      </w:pPr>
      <w:r>
        <w:rPr>
          <w:rFonts w:ascii="Calibri" w:hAnsi="Calibri" w:cs="Calibri"/>
          <w:i/>
          <w:color w:val="FF0000"/>
          <w:kern w:val="2"/>
          <w:sz w:val="16"/>
          <w:szCs w:val="16"/>
        </w:rPr>
        <w:t>Further discuss whether to introduce TTT(time to trigger) for threshold-based triggers.</w:t>
      </w:r>
    </w:p>
    <w:p w:rsidR="002A4B75" w:rsidP="002A4B75" w:rsidRDefault="002A4B75" w14:paraId="463CFCCF" w14:textId="77777777">
      <w:pPr>
        <w:widowControl w:val="0"/>
        <w:ind w:left="144" w:hanging="144"/>
        <w:rPr>
          <w:rFonts w:ascii="Calibri" w:hAnsi="Calibri" w:cs="Calibri"/>
          <w:i/>
          <w:color w:val="FF0000"/>
          <w:kern w:val="2"/>
          <w:sz w:val="16"/>
          <w:szCs w:val="16"/>
          <w:lang w:val="en-US"/>
        </w:rPr>
      </w:pPr>
      <w:r>
        <w:rPr>
          <w:rFonts w:ascii="Calibri" w:hAnsi="Calibri" w:cs="Calibri"/>
          <w:i/>
          <w:color w:val="FF0000"/>
          <w:kern w:val="2"/>
          <w:sz w:val="16"/>
          <w:szCs w:val="16"/>
        </w:rPr>
        <w:t>Further discuss the details of the procedure used for RVQoE deactivation over F1, e.g., legacy or new procedure, UE associated or non-UE associated signaling.</w:t>
      </w:r>
    </w:p>
    <w:p w:rsidR="002A4B75" w:rsidP="002A4B75" w:rsidRDefault="002A4B75" w14:paraId="7430FD2E" w14:textId="77777777">
      <w:pPr>
        <w:widowControl w:val="0"/>
        <w:ind w:left="144" w:hanging="144"/>
        <w:rPr>
          <w:rFonts w:ascii="Calibri" w:hAnsi="Calibri" w:cs="Calibri"/>
          <w:i/>
          <w:color w:val="FF0000"/>
          <w:kern w:val="2"/>
          <w:sz w:val="16"/>
          <w:szCs w:val="16"/>
          <w:lang w:val="en-US"/>
        </w:rPr>
      </w:pPr>
      <w:r>
        <w:rPr>
          <w:rFonts w:ascii="Calibri" w:hAnsi="Calibri" w:cs="Calibri"/>
          <w:i/>
          <w:color w:val="FF0000"/>
          <w:kern w:val="2"/>
          <w:sz w:val="16"/>
          <w:szCs w:val="16"/>
        </w:rPr>
        <w:t>Whether the deactivation of RVQoE reporting over F1 is performed per RVQoE configuration or not?</w:t>
      </w:r>
    </w:p>
    <w:p w:rsidR="002A4B75" w:rsidP="002A4B75" w:rsidRDefault="002A4B75" w14:paraId="0EE8A14A" w14:textId="77777777">
      <w:pPr>
        <w:widowControl w:val="0"/>
        <w:ind w:left="144" w:hanging="144"/>
        <w:rPr>
          <w:rFonts w:ascii="Calibri" w:hAnsi="Calibri" w:cs="Calibri"/>
          <w:i/>
          <w:color w:val="FF0000"/>
          <w:kern w:val="2"/>
          <w:sz w:val="16"/>
          <w:szCs w:val="16"/>
          <w:lang w:val="en-US"/>
        </w:rPr>
      </w:pPr>
      <w:r>
        <w:rPr>
          <w:rFonts w:ascii="Calibri" w:hAnsi="Calibri" w:cs="Calibri"/>
          <w:i/>
          <w:color w:val="FF0000"/>
          <w:kern w:val="2"/>
          <w:sz w:val="16"/>
          <w:szCs w:val="16"/>
        </w:rPr>
        <w:t>Clarify whether the DU triggered deactivation of RVQoE reporting over F1 pertains only to the present application session.</w:t>
      </w:r>
    </w:p>
    <w:p w:rsidR="002A4B75" w:rsidP="00A358E4" w:rsidRDefault="002A4B75" w14:paraId="73D7CC56" w14:textId="6022C747">
      <w:pPr>
        <w:rPr>
          <w:rFonts w:ascii="Calibri" w:hAnsi="Calibri" w:cs="Calibri"/>
          <w:i/>
          <w:color w:val="FF0000"/>
          <w:kern w:val="2"/>
          <w:sz w:val="16"/>
          <w:szCs w:val="16"/>
          <w:lang w:val="en-US"/>
        </w:rPr>
      </w:pPr>
      <w:r>
        <w:rPr>
          <w:rFonts w:ascii="Calibri" w:hAnsi="Calibri" w:cs="Calibri"/>
          <w:i/>
          <w:color w:val="FF0000"/>
          <w:kern w:val="2"/>
          <w:sz w:val="16"/>
          <w:szCs w:val="16"/>
        </w:rPr>
        <w:t>Further discuss and clarify the necessity of DU participation in assembling RVQoE configuration.</w:t>
      </w:r>
    </w:p>
    <w:p w:rsidRPr="002A4B75" w:rsidR="002A4B75" w:rsidP="00A358E4" w:rsidRDefault="002A4B75" w14:paraId="3143C76F" w14:textId="345B52DB">
      <w:pPr>
        <w:rPr>
          <w:rFonts w:ascii="Calibri" w:hAnsi="Calibri" w:cs="Calibri"/>
          <w:i/>
          <w:color w:val="FF0000"/>
          <w:kern w:val="2"/>
          <w:sz w:val="16"/>
          <w:szCs w:val="16"/>
          <w:lang w:val="en-US"/>
        </w:rPr>
      </w:pPr>
      <w:r>
        <w:t xml:space="preserve">In this paper, we provide additional input and discussion on the above open issues under the present sub-agenda item. </w:t>
      </w:r>
    </w:p>
    <w:p w:rsidRPr="006E13D1" w:rsidR="00CD4C7B" w:rsidP="00CD4C7B" w:rsidRDefault="00CD4C7B" w14:paraId="4E93D72F" w14:textId="77777777">
      <w:pPr>
        <w:pStyle w:val="Heading1"/>
      </w:pPr>
      <w:r w:rsidRPr="006E13D1">
        <w:t>2</w:t>
      </w:r>
      <w:r w:rsidRPr="006E13D1">
        <w:tab/>
      </w:r>
      <w:r w:rsidR="00972FD7">
        <w:t>Discussion</w:t>
      </w:r>
    </w:p>
    <w:p w:rsidR="001557EA" w:rsidP="001557EA" w:rsidRDefault="001557EA" w14:paraId="0853233A" w14:textId="74F6DF65">
      <w:pPr>
        <w:pStyle w:val="Heading2"/>
      </w:pPr>
      <w:r>
        <w:t>2.1</w:t>
      </w:r>
      <w:r>
        <w:tab/>
      </w:r>
      <w:r w:rsidR="007A1F59">
        <w:t>Threshold-based</w:t>
      </w:r>
      <w:r w:rsidR="00A358E4">
        <w:t xml:space="preserve"> RVQoE reporting</w:t>
      </w:r>
    </w:p>
    <w:p w:rsidR="00796F6B" w:rsidP="21E4B991" w:rsidRDefault="003C2764" w14:paraId="56960A67" w14:textId="77FA38E8">
      <w:pPr>
        <w:pStyle w:val="00BodyText"/>
        <w:spacing w:after="0"/>
        <w:rPr>
          <w:rFonts w:ascii="Times New Roman" w:hAnsi="Times New Roman"/>
          <w:sz w:val="20"/>
          <w:lang w:val="en-GB"/>
        </w:rPr>
      </w:pPr>
      <w:r>
        <w:rPr>
          <w:rFonts w:ascii="Times New Roman" w:hAnsi="Times New Roman"/>
          <w:sz w:val="20"/>
          <w:lang w:val="en-GB"/>
        </w:rPr>
        <w:t>RAN2</w:t>
      </w:r>
      <w:r w:rsidR="00E04211">
        <w:rPr>
          <w:rFonts w:ascii="Times New Roman" w:hAnsi="Times New Roman"/>
          <w:sz w:val="20"/>
          <w:lang w:val="en-GB"/>
        </w:rPr>
        <w:t xml:space="preserve">#121 sent LS to SA4 in </w:t>
      </w:r>
      <w:r w:rsidRPr="00B7497D" w:rsidR="00B7497D">
        <w:rPr>
          <w:rFonts w:ascii="Times New Roman" w:hAnsi="Times New Roman"/>
          <w:sz w:val="20"/>
          <w:lang w:val="en-GB"/>
        </w:rPr>
        <w:t>[1]</w:t>
      </w:r>
      <w:r w:rsidR="00811DF5">
        <w:rPr>
          <w:rFonts w:ascii="Times New Roman" w:hAnsi="Times New Roman"/>
          <w:sz w:val="20"/>
          <w:lang w:val="en-GB"/>
        </w:rPr>
        <w:t xml:space="preserve"> to ask SA4 whether it could confirm that the UE application layer triggering of </w:t>
      </w:r>
      <w:r w:rsidR="00771034">
        <w:rPr>
          <w:rFonts w:ascii="Times New Roman" w:hAnsi="Times New Roman"/>
          <w:sz w:val="20"/>
          <w:lang w:val="en-GB"/>
        </w:rPr>
        <w:t>buffer level threshold-based RVQoE reporting could be supported in Rel-18.</w:t>
      </w:r>
      <w:r w:rsidR="001A6C1C">
        <w:rPr>
          <w:rFonts w:ascii="Times New Roman" w:hAnsi="Times New Roman"/>
          <w:sz w:val="20"/>
          <w:lang w:val="en-GB"/>
        </w:rPr>
        <w:t xml:space="preserve"> In that regard, SA4</w:t>
      </w:r>
      <w:r w:rsidR="008A58C1">
        <w:rPr>
          <w:rFonts w:ascii="Times New Roman" w:hAnsi="Times New Roman"/>
          <w:sz w:val="20"/>
          <w:lang w:val="en-GB"/>
        </w:rPr>
        <w:t>’s</w:t>
      </w:r>
      <w:r w:rsidR="001A6C1C">
        <w:rPr>
          <w:rFonts w:ascii="Times New Roman" w:hAnsi="Times New Roman"/>
          <w:sz w:val="20"/>
          <w:lang w:val="en-GB"/>
        </w:rPr>
        <w:t xml:space="preserve"> LS reply to RAN2 </w:t>
      </w:r>
      <w:r w:rsidR="006E6BFA">
        <w:rPr>
          <w:rFonts w:ascii="Times New Roman" w:hAnsi="Times New Roman"/>
          <w:sz w:val="20"/>
          <w:lang w:val="en-GB"/>
        </w:rPr>
        <w:t xml:space="preserve">in </w:t>
      </w:r>
      <w:r w:rsidRPr="00B7497D" w:rsidR="00B7497D">
        <w:rPr>
          <w:rFonts w:ascii="Times New Roman" w:hAnsi="Times New Roman"/>
          <w:sz w:val="20"/>
          <w:lang w:val="en-GB"/>
        </w:rPr>
        <w:t>[2]</w:t>
      </w:r>
      <w:r w:rsidR="008A58C1">
        <w:rPr>
          <w:rFonts w:ascii="Times New Roman" w:hAnsi="Times New Roman"/>
          <w:b/>
          <w:bCs/>
          <w:sz w:val="20"/>
          <w:lang w:val="en-GB"/>
        </w:rPr>
        <w:t xml:space="preserve"> </w:t>
      </w:r>
      <w:r w:rsidR="008A58C1">
        <w:rPr>
          <w:rFonts w:ascii="Times New Roman" w:hAnsi="Times New Roman"/>
          <w:sz w:val="20"/>
          <w:lang w:val="en-GB"/>
        </w:rPr>
        <w:t xml:space="preserve">confirms that </w:t>
      </w:r>
      <w:r w:rsidR="00E16DD0">
        <w:rPr>
          <w:rFonts w:ascii="Times New Roman" w:hAnsi="Times New Roman"/>
          <w:sz w:val="20"/>
          <w:lang w:val="en-GB"/>
        </w:rPr>
        <w:t>UE application layer triggering of buffer level threshold-based RVQoE can be supported in Rel-18</w:t>
      </w:r>
      <w:r w:rsidR="00E2347F">
        <w:rPr>
          <w:rFonts w:ascii="Times New Roman" w:hAnsi="Times New Roman"/>
          <w:sz w:val="20"/>
          <w:lang w:val="en-GB"/>
        </w:rPr>
        <w:t xml:space="preserve"> based on the corresponding QoE configuration received from the UE access stratum layer. Moreover, SA4 in their reply to </w:t>
      </w:r>
      <w:r w:rsidR="00E2347F">
        <w:rPr>
          <w:rFonts w:ascii="Times New Roman" w:hAnsi="Times New Roman"/>
          <w:sz w:val="20"/>
          <w:lang w:val="en-GB"/>
        </w:rPr>
        <w:lastRenderedPageBreak/>
        <w:t>RAN2 provide</w:t>
      </w:r>
      <w:r w:rsidR="006C5F89">
        <w:rPr>
          <w:rFonts w:ascii="Times New Roman" w:hAnsi="Times New Roman"/>
          <w:sz w:val="20"/>
          <w:lang w:val="en-GB"/>
        </w:rPr>
        <w:t>s</w:t>
      </w:r>
      <w:r w:rsidR="00E2347F">
        <w:rPr>
          <w:rFonts w:ascii="Times New Roman" w:hAnsi="Times New Roman"/>
          <w:sz w:val="20"/>
          <w:lang w:val="en-GB"/>
        </w:rPr>
        <w:t xml:space="preserve"> additional arguments </w:t>
      </w:r>
      <w:r w:rsidR="00B529A4">
        <w:rPr>
          <w:rFonts w:ascii="Times New Roman" w:hAnsi="Times New Roman"/>
          <w:sz w:val="20"/>
          <w:lang w:val="en-GB"/>
        </w:rPr>
        <w:t>to support the decision of why the</w:t>
      </w:r>
      <w:r w:rsidR="00E2347F">
        <w:rPr>
          <w:rFonts w:ascii="Times New Roman" w:hAnsi="Times New Roman"/>
          <w:sz w:val="20"/>
          <w:lang w:val="en-GB"/>
        </w:rPr>
        <w:t xml:space="preserve"> </w:t>
      </w:r>
      <w:r w:rsidR="00837103">
        <w:rPr>
          <w:rFonts w:ascii="Times New Roman" w:hAnsi="Times New Roman"/>
          <w:sz w:val="20"/>
          <w:lang w:val="en-GB"/>
        </w:rPr>
        <w:t>UE application layer is the adequate layer for triggering buffer level threshold-based RVQoE</w:t>
      </w:r>
      <w:r w:rsidR="007F5B0A">
        <w:rPr>
          <w:rFonts w:ascii="Times New Roman" w:hAnsi="Times New Roman"/>
          <w:sz w:val="20"/>
          <w:lang w:val="en-GB"/>
        </w:rPr>
        <w:t xml:space="preserve"> reporting</w:t>
      </w:r>
      <w:r w:rsidR="00837103">
        <w:rPr>
          <w:rFonts w:ascii="Times New Roman" w:hAnsi="Times New Roman"/>
          <w:sz w:val="20"/>
          <w:lang w:val="en-GB"/>
        </w:rPr>
        <w:t>.</w:t>
      </w:r>
    </w:p>
    <w:p w:rsidR="00B529A4" w:rsidP="21E4B991" w:rsidRDefault="00B529A4" w14:paraId="030B01B0" w14:textId="77777777">
      <w:pPr>
        <w:pStyle w:val="00BodyText"/>
        <w:spacing w:after="0"/>
        <w:rPr>
          <w:rFonts w:ascii="Times New Roman" w:hAnsi="Times New Roman"/>
          <w:sz w:val="20"/>
          <w:lang w:val="en-GB"/>
        </w:rPr>
      </w:pPr>
    </w:p>
    <w:p w:rsidRPr="008A58C1" w:rsidR="007C2D79" w:rsidP="21E4B991" w:rsidRDefault="007C2D79" w14:paraId="3F823B34" w14:textId="0817D2BA">
      <w:pPr>
        <w:pStyle w:val="00BodyText"/>
        <w:spacing w:after="0"/>
        <w:rPr>
          <w:rFonts w:ascii="Times New Roman" w:hAnsi="Times New Roman"/>
          <w:sz w:val="20"/>
          <w:lang w:val="en-GB"/>
        </w:rPr>
      </w:pPr>
      <w:r>
        <w:rPr>
          <w:rFonts w:ascii="Times New Roman" w:hAnsi="Times New Roman"/>
          <w:sz w:val="20"/>
          <w:lang w:val="en-GB"/>
        </w:rPr>
        <w:t>Given the reply of SA4 to RAN2</w:t>
      </w:r>
      <w:r w:rsidR="00B25476">
        <w:rPr>
          <w:rFonts w:ascii="Times New Roman" w:hAnsi="Times New Roman"/>
          <w:sz w:val="20"/>
          <w:lang w:val="en-GB"/>
        </w:rPr>
        <w:t xml:space="preserve">, it is now clear that the UE application layer will be responsible for triggering buffer level threshold-based RVQoE reporting. </w:t>
      </w:r>
      <w:r w:rsidR="00CA63C7">
        <w:rPr>
          <w:rFonts w:ascii="Times New Roman" w:hAnsi="Times New Roman"/>
          <w:sz w:val="20"/>
          <w:lang w:val="en-GB"/>
        </w:rPr>
        <w:t xml:space="preserve">Therefore, </w:t>
      </w:r>
      <w:r w:rsidR="00F125DC">
        <w:rPr>
          <w:rFonts w:ascii="Times New Roman" w:hAnsi="Times New Roman"/>
          <w:sz w:val="20"/>
          <w:lang w:val="en-GB"/>
        </w:rPr>
        <w:t xml:space="preserve">since </w:t>
      </w:r>
      <w:r w:rsidR="00553F44">
        <w:rPr>
          <w:rFonts w:ascii="Times New Roman" w:hAnsi="Times New Roman"/>
          <w:sz w:val="20"/>
          <w:lang w:val="en-GB"/>
        </w:rPr>
        <w:t xml:space="preserve">the application layer </w:t>
      </w:r>
      <w:r w:rsidR="00F125DC">
        <w:rPr>
          <w:rFonts w:ascii="Times New Roman" w:hAnsi="Times New Roman"/>
          <w:sz w:val="20"/>
          <w:lang w:val="en-GB"/>
        </w:rPr>
        <w:t>will</w:t>
      </w:r>
      <w:r w:rsidR="00553F44">
        <w:rPr>
          <w:rFonts w:ascii="Times New Roman" w:hAnsi="Times New Roman"/>
          <w:sz w:val="20"/>
          <w:lang w:val="en-GB"/>
        </w:rPr>
        <w:t xml:space="preserve"> be responsible for </w:t>
      </w:r>
      <w:r w:rsidR="00F125DC">
        <w:rPr>
          <w:rFonts w:ascii="Times New Roman" w:hAnsi="Times New Roman"/>
          <w:sz w:val="20"/>
          <w:lang w:val="en-GB"/>
        </w:rPr>
        <w:t>ha</w:t>
      </w:r>
      <w:r w:rsidR="00D530CA">
        <w:rPr>
          <w:rFonts w:ascii="Times New Roman" w:hAnsi="Times New Roman"/>
          <w:sz w:val="20"/>
          <w:lang w:val="en-GB"/>
        </w:rPr>
        <w:t xml:space="preserve">ndling the reporting and checking of buffer level RVQoE, we believe it should </w:t>
      </w:r>
      <w:r w:rsidR="00B529A4">
        <w:rPr>
          <w:rFonts w:ascii="Times New Roman" w:hAnsi="Times New Roman"/>
          <w:sz w:val="20"/>
          <w:lang w:val="en-GB"/>
        </w:rPr>
        <w:t xml:space="preserve">be </w:t>
      </w:r>
      <w:r w:rsidR="00D530CA">
        <w:rPr>
          <w:rFonts w:ascii="Times New Roman" w:hAnsi="Times New Roman"/>
          <w:sz w:val="20"/>
          <w:lang w:val="en-GB"/>
        </w:rPr>
        <w:t xml:space="preserve">SA4’s decision to determine </w:t>
      </w:r>
      <w:r w:rsidR="00553F44">
        <w:rPr>
          <w:rFonts w:ascii="Times New Roman" w:hAnsi="Times New Roman"/>
          <w:sz w:val="20"/>
          <w:lang w:val="en-GB"/>
        </w:rPr>
        <w:t>whether the threshold-based buffer level reporting starts i) when the buffer level is greater than a threshold, ii)</w:t>
      </w:r>
      <w:r w:rsidR="00F125DC">
        <w:rPr>
          <w:rFonts w:ascii="Times New Roman" w:hAnsi="Times New Roman"/>
          <w:sz w:val="20"/>
          <w:lang w:val="en-GB"/>
        </w:rPr>
        <w:t xml:space="preserve"> buffer level is below a threshold or iii) buffer level is between two threshold</w:t>
      </w:r>
      <w:r w:rsidR="002500A3">
        <w:rPr>
          <w:rFonts w:ascii="Times New Roman" w:hAnsi="Times New Roman"/>
          <w:sz w:val="20"/>
          <w:lang w:val="en-GB"/>
        </w:rPr>
        <w:t>s</w:t>
      </w:r>
      <w:r w:rsidR="00F125DC">
        <w:rPr>
          <w:rFonts w:ascii="Times New Roman" w:hAnsi="Times New Roman"/>
          <w:sz w:val="20"/>
          <w:lang w:val="en-GB"/>
        </w:rPr>
        <w:t>.</w:t>
      </w:r>
    </w:p>
    <w:p w:rsidR="009C53DB" w:rsidP="21E4B991" w:rsidRDefault="009C53DB" w14:paraId="767A69D4" w14:textId="513AECD7">
      <w:pPr>
        <w:pStyle w:val="00BodyText"/>
        <w:spacing w:after="0"/>
        <w:rPr>
          <w:rFonts w:ascii="Times New Roman" w:hAnsi="Times New Roman"/>
          <w:sz w:val="20"/>
          <w:lang w:val="en-GB"/>
        </w:rPr>
      </w:pPr>
    </w:p>
    <w:p w:rsidRPr="00301CB3" w:rsidR="00D530CA" w:rsidP="21E4B991" w:rsidRDefault="00D530CA" w14:paraId="0057EFCA" w14:textId="7642D0BE">
      <w:pPr>
        <w:pStyle w:val="00BodyText"/>
        <w:spacing w:after="0"/>
        <w:rPr>
          <w:rFonts w:ascii="Times New Roman" w:hAnsi="Times New Roman"/>
          <w:b/>
          <w:bCs/>
          <w:sz w:val="20"/>
          <w:lang w:val="en-GB"/>
        </w:rPr>
      </w:pPr>
      <w:r w:rsidRPr="00301CB3">
        <w:rPr>
          <w:rFonts w:ascii="Times New Roman" w:hAnsi="Times New Roman"/>
          <w:b/>
          <w:bCs/>
          <w:sz w:val="20"/>
          <w:lang w:val="en-GB"/>
        </w:rPr>
        <w:t xml:space="preserve">Proposal 1: </w:t>
      </w:r>
      <w:r w:rsidRPr="00301CB3" w:rsidR="00B46A95">
        <w:rPr>
          <w:rFonts w:ascii="Times New Roman" w:hAnsi="Times New Roman"/>
          <w:b/>
          <w:bCs/>
          <w:sz w:val="20"/>
          <w:lang w:val="en-GB"/>
        </w:rPr>
        <w:t xml:space="preserve">Since UE application layer will be responsible for </w:t>
      </w:r>
      <w:r w:rsidRPr="00301CB3" w:rsidR="004C79C8">
        <w:rPr>
          <w:rFonts w:ascii="Times New Roman" w:hAnsi="Times New Roman"/>
          <w:b/>
          <w:bCs/>
          <w:sz w:val="20"/>
          <w:lang w:val="en-GB"/>
        </w:rPr>
        <w:t>triggering of buffer level threshold-based RVQoE reporting based on SA4</w:t>
      </w:r>
      <w:r w:rsidR="00B529A4">
        <w:rPr>
          <w:rFonts w:ascii="Times New Roman" w:hAnsi="Times New Roman"/>
          <w:b/>
          <w:bCs/>
          <w:sz w:val="20"/>
          <w:lang w:val="en-GB"/>
        </w:rPr>
        <w:t>’s</w:t>
      </w:r>
      <w:r w:rsidRPr="00301CB3" w:rsidR="004C79C8">
        <w:rPr>
          <w:rFonts w:ascii="Times New Roman" w:hAnsi="Times New Roman"/>
          <w:b/>
          <w:bCs/>
          <w:sz w:val="20"/>
          <w:lang w:val="en-GB"/>
        </w:rPr>
        <w:t xml:space="preserve"> reply to RAN2</w:t>
      </w:r>
      <w:r w:rsidRPr="00301CB3" w:rsidR="00EC2C94">
        <w:rPr>
          <w:rFonts w:ascii="Times New Roman" w:hAnsi="Times New Roman"/>
          <w:b/>
          <w:bCs/>
          <w:sz w:val="20"/>
          <w:lang w:val="en-GB"/>
        </w:rPr>
        <w:t>, it shall be SA4’s decision on the</w:t>
      </w:r>
      <w:r w:rsidRPr="00301CB3" w:rsidR="00685C69">
        <w:rPr>
          <w:rFonts w:ascii="Times New Roman" w:hAnsi="Times New Roman"/>
          <w:b/>
          <w:bCs/>
          <w:sz w:val="20"/>
          <w:lang w:val="en-GB"/>
        </w:rPr>
        <w:t xml:space="preserve"> time </w:t>
      </w:r>
      <w:r w:rsidR="00B529A4">
        <w:rPr>
          <w:rFonts w:ascii="Times New Roman" w:hAnsi="Times New Roman"/>
          <w:b/>
          <w:bCs/>
          <w:sz w:val="20"/>
          <w:lang w:val="en-GB"/>
        </w:rPr>
        <w:t xml:space="preserve">of the start of </w:t>
      </w:r>
      <w:r w:rsidRPr="00301CB3" w:rsidR="00685C69">
        <w:rPr>
          <w:rFonts w:ascii="Times New Roman" w:hAnsi="Times New Roman"/>
          <w:b/>
          <w:bCs/>
          <w:sz w:val="20"/>
          <w:lang w:val="en-GB"/>
        </w:rPr>
        <w:t>the reporting.</w:t>
      </w:r>
    </w:p>
    <w:p w:rsidR="00335F86" w:rsidP="21E4B991" w:rsidRDefault="00335F86" w14:paraId="1414697F" w14:textId="77777777">
      <w:pPr>
        <w:pStyle w:val="00BodyText"/>
        <w:spacing w:after="0"/>
        <w:rPr>
          <w:rFonts w:ascii="Times New Roman" w:hAnsi="Times New Roman"/>
          <w:sz w:val="20"/>
          <w:lang w:val="en-GB"/>
        </w:rPr>
      </w:pPr>
    </w:p>
    <w:p w:rsidR="00335F86" w:rsidP="21E4B991" w:rsidRDefault="005E1571" w14:paraId="5B54320A" w14:textId="74E789BA">
      <w:pPr>
        <w:pStyle w:val="00BodyText"/>
        <w:spacing w:after="0"/>
        <w:rPr>
          <w:rFonts w:ascii="Times New Roman" w:hAnsi="Times New Roman"/>
          <w:b/>
          <w:bCs/>
          <w:sz w:val="20"/>
          <w:lang w:val="en-GB"/>
        </w:rPr>
      </w:pPr>
      <w:r w:rsidRPr="00301CB3">
        <w:rPr>
          <w:rFonts w:ascii="Times New Roman" w:hAnsi="Times New Roman"/>
          <w:b/>
          <w:bCs/>
          <w:sz w:val="20"/>
          <w:lang w:val="en-GB"/>
        </w:rPr>
        <w:t xml:space="preserve">Observation 1: </w:t>
      </w:r>
      <w:r w:rsidRPr="00301CB3" w:rsidR="00335F86">
        <w:rPr>
          <w:rFonts w:ascii="Times New Roman" w:hAnsi="Times New Roman"/>
          <w:b/>
          <w:bCs/>
          <w:sz w:val="20"/>
          <w:lang w:val="en-GB"/>
        </w:rPr>
        <w:t>Following the above discussion</w:t>
      </w:r>
      <w:r w:rsidRPr="00301CB3" w:rsidR="00AA6D5F">
        <w:rPr>
          <w:rFonts w:ascii="Times New Roman" w:hAnsi="Times New Roman"/>
          <w:b/>
          <w:bCs/>
          <w:sz w:val="20"/>
          <w:lang w:val="en-GB"/>
        </w:rPr>
        <w:t xml:space="preserve">, </w:t>
      </w:r>
      <w:r w:rsidRPr="00301CB3" w:rsidR="005E3CB3">
        <w:rPr>
          <w:rFonts w:ascii="Times New Roman" w:hAnsi="Times New Roman"/>
          <w:b/>
          <w:bCs/>
          <w:sz w:val="20"/>
          <w:lang w:val="en-GB"/>
        </w:rPr>
        <w:t xml:space="preserve">given the FFS in RAN3 with respect to the introduction of time to trigger (TTI) for threshold-based </w:t>
      </w:r>
      <w:r w:rsidR="00B529A4">
        <w:rPr>
          <w:rFonts w:ascii="Times New Roman" w:hAnsi="Times New Roman"/>
          <w:b/>
          <w:bCs/>
          <w:sz w:val="20"/>
          <w:lang w:val="en-GB"/>
        </w:rPr>
        <w:t>RVQoE</w:t>
      </w:r>
      <w:r w:rsidRPr="00301CB3" w:rsidR="009220E1">
        <w:rPr>
          <w:rFonts w:ascii="Times New Roman" w:hAnsi="Times New Roman"/>
          <w:b/>
          <w:bCs/>
          <w:sz w:val="20"/>
          <w:lang w:val="en-GB"/>
        </w:rPr>
        <w:t xml:space="preserve">, it </w:t>
      </w:r>
      <w:r w:rsidRPr="00301CB3">
        <w:rPr>
          <w:rFonts w:ascii="Times New Roman" w:hAnsi="Times New Roman"/>
          <w:b/>
          <w:bCs/>
          <w:sz w:val="20"/>
          <w:lang w:val="en-GB"/>
        </w:rPr>
        <w:t xml:space="preserve">becomes apparent that </w:t>
      </w:r>
      <w:r w:rsidRPr="00301CB3" w:rsidR="00AA6D5F">
        <w:rPr>
          <w:rFonts w:ascii="Times New Roman" w:hAnsi="Times New Roman"/>
          <w:b/>
          <w:bCs/>
          <w:sz w:val="20"/>
          <w:lang w:val="en-GB"/>
        </w:rPr>
        <w:t xml:space="preserve">the </w:t>
      </w:r>
      <w:r w:rsidRPr="00301CB3">
        <w:rPr>
          <w:rFonts w:ascii="Times New Roman" w:hAnsi="Times New Roman"/>
          <w:b/>
          <w:bCs/>
          <w:sz w:val="20"/>
          <w:lang w:val="en-GB"/>
        </w:rPr>
        <w:t>UE application layer will need to handle TTI if introduced</w:t>
      </w:r>
      <w:r w:rsidR="00B529A4">
        <w:rPr>
          <w:rFonts w:ascii="Times New Roman" w:hAnsi="Times New Roman"/>
          <w:b/>
          <w:bCs/>
          <w:sz w:val="20"/>
          <w:lang w:val="en-GB"/>
        </w:rPr>
        <w:t>,</w:t>
      </w:r>
      <w:r w:rsidRPr="00301CB3">
        <w:rPr>
          <w:rFonts w:ascii="Times New Roman" w:hAnsi="Times New Roman"/>
          <w:b/>
          <w:bCs/>
          <w:sz w:val="20"/>
          <w:lang w:val="en-GB"/>
        </w:rPr>
        <w:t xml:space="preserve"> sin</w:t>
      </w:r>
      <w:r w:rsidRPr="00301CB3" w:rsidR="00AA6D5F">
        <w:rPr>
          <w:rFonts w:ascii="Times New Roman" w:hAnsi="Times New Roman"/>
          <w:b/>
          <w:bCs/>
          <w:sz w:val="20"/>
          <w:lang w:val="en-GB"/>
        </w:rPr>
        <w:t>ce UE application layer will be responsible for checking and reporting buffer level threshold-based RVQoE.</w:t>
      </w:r>
    </w:p>
    <w:p w:rsidR="00781593" w:rsidP="21E4B991" w:rsidRDefault="00781593" w14:paraId="7F72FD5F" w14:textId="77777777">
      <w:pPr>
        <w:pStyle w:val="00BodyText"/>
        <w:spacing w:after="0"/>
        <w:rPr>
          <w:rFonts w:ascii="Times New Roman" w:hAnsi="Times New Roman"/>
          <w:b/>
          <w:bCs/>
          <w:sz w:val="20"/>
          <w:lang w:val="en-GB"/>
        </w:rPr>
      </w:pPr>
    </w:p>
    <w:p w:rsidRPr="00301CB3" w:rsidR="00781593" w:rsidP="21E4B991" w:rsidRDefault="00781593" w14:paraId="3637E420" w14:textId="4A73AB81">
      <w:pPr>
        <w:pStyle w:val="00BodyText"/>
        <w:spacing w:after="0"/>
        <w:rPr>
          <w:rFonts w:ascii="Times New Roman" w:hAnsi="Times New Roman"/>
          <w:b/>
          <w:bCs/>
          <w:sz w:val="20"/>
          <w:lang w:val="en-GB"/>
        </w:rPr>
      </w:pPr>
      <w:r>
        <w:rPr>
          <w:rFonts w:ascii="Times New Roman" w:hAnsi="Times New Roman"/>
          <w:b/>
          <w:bCs/>
          <w:sz w:val="20"/>
          <w:lang w:val="en-GB"/>
        </w:rPr>
        <w:t xml:space="preserve">Proposal 2: </w:t>
      </w:r>
      <w:r w:rsidR="00543912">
        <w:rPr>
          <w:rFonts w:ascii="Times New Roman" w:hAnsi="Times New Roman"/>
          <w:b/>
          <w:bCs/>
          <w:sz w:val="20"/>
          <w:lang w:val="en-GB"/>
        </w:rPr>
        <w:t xml:space="preserve">Given that time to trigger for </w:t>
      </w:r>
      <w:r w:rsidR="005B28D1">
        <w:rPr>
          <w:rFonts w:ascii="Times New Roman" w:hAnsi="Times New Roman"/>
          <w:b/>
          <w:bCs/>
          <w:sz w:val="20"/>
          <w:lang w:val="en-GB"/>
        </w:rPr>
        <w:t xml:space="preserve">buffer level </w:t>
      </w:r>
      <w:r w:rsidR="00543912">
        <w:rPr>
          <w:rFonts w:ascii="Times New Roman" w:hAnsi="Times New Roman"/>
          <w:b/>
          <w:bCs/>
          <w:sz w:val="20"/>
          <w:lang w:val="en-GB"/>
        </w:rPr>
        <w:t>threshold-based RVQoE if agreed will be handled at UE application layer</w:t>
      </w:r>
      <w:r w:rsidR="001F004A">
        <w:rPr>
          <w:rFonts w:ascii="Times New Roman" w:hAnsi="Times New Roman"/>
          <w:b/>
          <w:bCs/>
          <w:sz w:val="20"/>
          <w:lang w:val="en-GB"/>
        </w:rPr>
        <w:t>,</w:t>
      </w:r>
      <w:r w:rsidR="00543912">
        <w:rPr>
          <w:rFonts w:ascii="Times New Roman" w:hAnsi="Times New Roman"/>
          <w:b/>
          <w:bCs/>
          <w:sz w:val="20"/>
          <w:lang w:val="en-GB"/>
        </w:rPr>
        <w:t xml:space="preserve"> it shall be SA4’s decision </w:t>
      </w:r>
      <w:r w:rsidR="00B529A4">
        <w:rPr>
          <w:rFonts w:ascii="Times New Roman" w:hAnsi="Times New Roman"/>
          <w:b/>
          <w:bCs/>
          <w:sz w:val="20"/>
          <w:lang w:val="en-GB"/>
        </w:rPr>
        <w:t xml:space="preserve">to decide if time to trigger is needed </w:t>
      </w:r>
      <w:r w:rsidR="00543912">
        <w:rPr>
          <w:rFonts w:ascii="Times New Roman" w:hAnsi="Times New Roman"/>
          <w:b/>
          <w:bCs/>
          <w:sz w:val="20"/>
          <w:lang w:val="en-GB"/>
        </w:rPr>
        <w:t>and therefore RAN3 shall wait first for SA’4 feedback.</w:t>
      </w:r>
    </w:p>
    <w:p w:rsidR="00A358E4" w:rsidP="00CD4C7B" w:rsidRDefault="00A358E4" w14:paraId="1E30C502" w14:textId="6AFA531D">
      <w:pPr>
        <w:pStyle w:val="00BodyText"/>
        <w:spacing w:after="0"/>
        <w:rPr>
          <w:rFonts w:ascii="Times New Roman" w:hAnsi="Times New Roman"/>
          <w:b/>
          <w:bCs/>
          <w:sz w:val="20"/>
          <w:lang w:val="en-GB"/>
        </w:rPr>
      </w:pPr>
    </w:p>
    <w:p w:rsidR="00A01ED4" w:rsidP="00CD4C7B" w:rsidRDefault="00A01ED4" w14:paraId="21E6EFFD" w14:textId="04CB1B12">
      <w:pPr>
        <w:pStyle w:val="00BodyText"/>
        <w:spacing w:after="0"/>
        <w:rPr>
          <w:rFonts w:ascii="Times New Roman" w:hAnsi="Times New Roman"/>
          <w:sz w:val="20"/>
          <w:lang w:val="en-GB"/>
        </w:rPr>
      </w:pPr>
      <w:r>
        <w:rPr>
          <w:rFonts w:ascii="Times New Roman" w:hAnsi="Times New Roman"/>
          <w:sz w:val="20"/>
          <w:lang w:val="en-GB"/>
        </w:rPr>
        <w:t>Regarding the RAN3 discussion on possible options of sending RVQoE reports after the threshold is met the following is proposed:</w:t>
      </w:r>
    </w:p>
    <w:p w:rsidR="00A01ED4" w:rsidP="00CD4C7B" w:rsidRDefault="00A01ED4" w14:paraId="12EEBA9D" w14:textId="77777777">
      <w:pPr>
        <w:pStyle w:val="00BodyText"/>
        <w:spacing w:after="0"/>
        <w:rPr>
          <w:rFonts w:ascii="Times New Roman" w:hAnsi="Times New Roman"/>
          <w:sz w:val="20"/>
          <w:lang w:val="en-GB"/>
        </w:rPr>
      </w:pPr>
    </w:p>
    <w:p w:rsidR="00A01ED4" w:rsidP="00CD4C7B" w:rsidRDefault="00A01ED4" w14:paraId="4A3E140D" w14:textId="7A60D0B1">
      <w:pPr>
        <w:pStyle w:val="00BodyText"/>
        <w:spacing w:after="0"/>
        <w:rPr>
          <w:rFonts w:ascii="Times New Roman" w:hAnsi="Times New Roman"/>
          <w:sz w:val="20"/>
          <w:lang w:val="en-GB"/>
        </w:rPr>
      </w:pPr>
      <w:r w:rsidRPr="00EE086C">
        <w:rPr>
          <w:rFonts w:ascii="Times New Roman" w:hAnsi="Times New Roman"/>
          <w:b/>
          <w:bCs/>
          <w:sz w:val="20"/>
          <w:lang w:val="en-GB"/>
        </w:rPr>
        <w:t>Option 1:</w:t>
      </w:r>
      <w:r>
        <w:rPr>
          <w:rFonts w:ascii="Times New Roman" w:hAnsi="Times New Roman"/>
          <w:sz w:val="20"/>
          <w:lang w:val="en-GB"/>
        </w:rPr>
        <w:t xml:space="preserve"> Just once (after receiving this RVQoE report, gNB might reconfigure this threshold value to get additional reports)</w:t>
      </w:r>
    </w:p>
    <w:p w:rsidR="00A01ED4" w:rsidP="00CD4C7B" w:rsidRDefault="00A01ED4" w14:paraId="6F87705E" w14:textId="77777777">
      <w:pPr>
        <w:pStyle w:val="00BodyText"/>
        <w:spacing w:after="0"/>
        <w:rPr>
          <w:rFonts w:ascii="Times New Roman" w:hAnsi="Times New Roman"/>
          <w:sz w:val="20"/>
          <w:lang w:val="en-GB"/>
        </w:rPr>
      </w:pPr>
      <w:r w:rsidRPr="00EE086C">
        <w:rPr>
          <w:rFonts w:ascii="Times New Roman" w:hAnsi="Times New Roman"/>
          <w:b/>
          <w:bCs/>
          <w:sz w:val="20"/>
          <w:lang w:val="en-GB"/>
        </w:rPr>
        <w:t>Option 2:</w:t>
      </w:r>
      <w:r>
        <w:rPr>
          <w:rFonts w:ascii="Times New Roman" w:hAnsi="Times New Roman"/>
          <w:sz w:val="20"/>
          <w:lang w:val="en-GB"/>
        </w:rPr>
        <w:t xml:space="preserve"> Periodically based on a gNB configured reporting periodicity</w:t>
      </w:r>
    </w:p>
    <w:p w:rsidR="00A01ED4" w:rsidP="00CD4C7B" w:rsidRDefault="00A01ED4" w14:paraId="4405EA67" w14:textId="77777777">
      <w:pPr>
        <w:pStyle w:val="00BodyText"/>
        <w:spacing w:after="0"/>
        <w:rPr>
          <w:rFonts w:ascii="Times New Roman" w:hAnsi="Times New Roman"/>
          <w:sz w:val="20"/>
          <w:lang w:val="en-GB"/>
        </w:rPr>
      </w:pPr>
      <w:r w:rsidRPr="00EE086C">
        <w:rPr>
          <w:rFonts w:ascii="Times New Roman" w:hAnsi="Times New Roman"/>
          <w:b/>
          <w:bCs/>
          <w:sz w:val="20"/>
          <w:lang w:val="en-GB"/>
        </w:rPr>
        <w:t>Option 3:</w:t>
      </w:r>
      <w:r>
        <w:rPr>
          <w:rFonts w:ascii="Times New Roman" w:hAnsi="Times New Roman"/>
          <w:sz w:val="20"/>
          <w:lang w:val="en-GB"/>
        </w:rPr>
        <w:t xml:space="preserve"> A certain number of times based on gNB configured report amount</w:t>
      </w:r>
    </w:p>
    <w:p w:rsidR="00A01ED4" w:rsidP="00CD4C7B" w:rsidRDefault="00A01ED4" w14:paraId="0451EC60" w14:textId="77777777">
      <w:pPr>
        <w:pStyle w:val="00BodyText"/>
        <w:spacing w:after="0"/>
        <w:rPr>
          <w:rFonts w:ascii="Times New Roman" w:hAnsi="Times New Roman"/>
          <w:sz w:val="20"/>
          <w:lang w:val="en-GB"/>
        </w:rPr>
      </w:pPr>
    </w:p>
    <w:p w:rsidR="00A01ED4" w:rsidP="00A01ED4" w:rsidRDefault="00A01ED4" w14:paraId="2313F112" w14:textId="34F3639A">
      <w:pPr>
        <w:pStyle w:val="00BodyText"/>
        <w:spacing w:after="0"/>
        <w:rPr>
          <w:rFonts w:ascii="Times New Roman" w:hAnsi="Times New Roman"/>
          <w:sz w:val="20"/>
          <w:lang w:val="en-GB"/>
        </w:rPr>
      </w:pPr>
      <w:r>
        <w:rPr>
          <w:rFonts w:ascii="Times New Roman" w:hAnsi="Times New Roman"/>
          <w:sz w:val="20"/>
          <w:lang w:val="en-GB"/>
        </w:rPr>
        <w:t xml:space="preserve">In case that option 1) is chosen, while it will enable the gNB to receive multiple RVQoE reports from the UE, it will also require additional signaling as the gNB would need to always reconfigure the UE with a different threshold every time a report is received. Alternatively, if option 2) is decided, then </w:t>
      </w:r>
      <w:r w:rsidR="006E768A">
        <w:rPr>
          <w:rFonts w:ascii="Times New Roman" w:hAnsi="Times New Roman"/>
          <w:sz w:val="20"/>
          <w:lang w:val="en-GB"/>
        </w:rPr>
        <w:t>no further signaling is needed from the gNB towards the UE, as the reports would be sent periodically</w:t>
      </w:r>
      <w:r w:rsidR="00F13016">
        <w:rPr>
          <w:rFonts w:ascii="Times New Roman" w:hAnsi="Times New Roman"/>
          <w:sz w:val="20"/>
          <w:lang w:val="en-GB"/>
        </w:rPr>
        <w:t xml:space="preserve"> as long as the </w:t>
      </w:r>
      <w:r w:rsidR="00BC379D">
        <w:rPr>
          <w:rFonts w:ascii="Times New Roman" w:hAnsi="Times New Roman"/>
          <w:sz w:val="20"/>
          <w:lang w:val="en-GB"/>
        </w:rPr>
        <w:t>condition holds</w:t>
      </w:r>
      <w:r w:rsidR="002E4858">
        <w:rPr>
          <w:rFonts w:ascii="Times New Roman" w:hAnsi="Times New Roman"/>
          <w:sz w:val="20"/>
          <w:lang w:val="en-GB"/>
        </w:rPr>
        <w:t>, thus</w:t>
      </w:r>
      <w:r w:rsidR="006D1EA3">
        <w:rPr>
          <w:rFonts w:ascii="Times New Roman" w:hAnsi="Times New Roman"/>
          <w:sz w:val="20"/>
          <w:lang w:val="en-GB"/>
        </w:rPr>
        <w:t xml:space="preserve"> </w:t>
      </w:r>
      <w:r w:rsidR="006E768A">
        <w:rPr>
          <w:rFonts w:ascii="Times New Roman" w:hAnsi="Times New Roman"/>
          <w:sz w:val="20"/>
          <w:lang w:val="en-GB"/>
        </w:rPr>
        <w:t xml:space="preserve">gNB can maintain an overview of RVQoE metrics. Finally, option 3) would </w:t>
      </w:r>
      <w:r w:rsidR="00E32AB8">
        <w:rPr>
          <w:rFonts w:ascii="Times New Roman" w:hAnsi="Times New Roman"/>
          <w:sz w:val="20"/>
          <w:lang w:val="en-GB"/>
        </w:rPr>
        <w:t>require</w:t>
      </w:r>
      <w:r w:rsidR="006E768A">
        <w:rPr>
          <w:rFonts w:ascii="Times New Roman" w:hAnsi="Times New Roman"/>
          <w:sz w:val="20"/>
          <w:lang w:val="en-GB"/>
        </w:rPr>
        <w:t xml:space="preserve"> gNB </w:t>
      </w:r>
      <w:r w:rsidR="00E32AB8">
        <w:rPr>
          <w:rFonts w:ascii="Times New Roman" w:hAnsi="Times New Roman"/>
          <w:sz w:val="20"/>
          <w:lang w:val="en-GB"/>
        </w:rPr>
        <w:t>to</w:t>
      </w:r>
      <w:r w:rsidR="006E768A">
        <w:rPr>
          <w:rFonts w:ascii="Times New Roman" w:hAnsi="Times New Roman"/>
          <w:sz w:val="20"/>
          <w:lang w:val="en-GB"/>
        </w:rPr>
        <w:t xml:space="preserve"> configure the amount of times the report will be sen</w:t>
      </w:r>
      <w:r w:rsidR="0080481C">
        <w:rPr>
          <w:rFonts w:ascii="Times New Roman" w:hAnsi="Times New Roman"/>
          <w:sz w:val="20"/>
          <w:lang w:val="en-GB"/>
        </w:rPr>
        <w:t>t</w:t>
      </w:r>
      <w:r w:rsidR="006E768A">
        <w:rPr>
          <w:rFonts w:ascii="Times New Roman" w:hAnsi="Times New Roman"/>
          <w:sz w:val="20"/>
          <w:lang w:val="en-GB"/>
        </w:rPr>
        <w:t xml:space="preserve"> by the UE</w:t>
      </w:r>
      <w:r w:rsidR="00EE086C">
        <w:rPr>
          <w:rFonts w:ascii="Times New Roman" w:hAnsi="Times New Roman"/>
          <w:sz w:val="20"/>
          <w:lang w:val="en-GB"/>
        </w:rPr>
        <w:t xml:space="preserve"> </w:t>
      </w:r>
      <w:r w:rsidR="00EF32BB">
        <w:rPr>
          <w:rFonts w:ascii="Times New Roman" w:hAnsi="Times New Roman"/>
          <w:sz w:val="20"/>
          <w:lang w:val="en-GB"/>
        </w:rPr>
        <w:t>to</w:t>
      </w:r>
      <w:r w:rsidR="00EE086C">
        <w:rPr>
          <w:rFonts w:ascii="Times New Roman" w:hAnsi="Times New Roman"/>
          <w:sz w:val="20"/>
          <w:lang w:val="en-GB"/>
        </w:rPr>
        <w:t xml:space="preserve"> still enable the gNB to receive multiple reports.</w:t>
      </w:r>
    </w:p>
    <w:p w:rsidR="00EE086C" w:rsidP="00A01ED4" w:rsidRDefault="00EE086C" w14:paraId="66A0CB9F" w14:textId="77777777">
      <w:pPr>
        <w:pStyle w:val="00BodyText"/>
        <w:spacing w:after="0"/>
        <w:rPr>
          <w:rFonts w:ascii="Times New Roman" w:hAnsi="Times New Roman"/>
          <w:sz w:val="20"/>
          <w:lang w:val="en-GB"/>
        </w:rPr>
      </w:pPr>
    </w:p>
    <w:p w:rsidRPr="00EE086C" w:rsidR="00EE086C" w:rsidP="00A01ED4" w:rsidRDefault="00EE086C" w14:paraId="08A7E826" w14:textId="7162B0AA">
      <w:pPr>
        <w:pStyle w:val="00BodyText"/>
        <w:spacing w:after="0"/>
        <w:rPr>
          <w:rFonts w:ascii="Times New Roman" w:hAnsi="Times New Roman"/>
          <w:b/>
          <w:bCs/>
          <w:sz w:val="20"/>
          <w:lang w:val="en-GB"/>
        </w:rPr>
      </w:pPr>
      <w:r w:rsidRPr="00EE086C">
        <w:rPr>
          <w:rFonts w:ascii="Times New Roman" w:hAnsi="Times New Roman"/>
          <w:b/>
          <w:bCs/>
          <w:sz w:val="20"/>
          <w:lang w:val="en-GB"/>
        </w:rPr>
        <w:t xml:space="preserve">Observation 2: While option 1) provides better means for the gNB to optimize the RVQoE mechanism, it introduces extra signaling compared to option 2 and 3. </w:t>
      </w:r>
      <w:r w:rsidR="00803228">
        <w:rPr>
          <w:rFonts w:ascii="Times New Roman" w:hAnsi="Times New Roman"/>
          <w:b/>
          <w:bCs/>
          <w:sz w:val="20"/>
          <w:lang w:val="en-GB"/>
        </w:rPr>
        <w:t xml:space="preserve"> On the other hand, while comparing option 2 and 3, the latter requires extra information to be configured at the UE. Therefore, option 2 seems to be the most reasonable solution. </w:t>
      </w:r>
    </w:p>
    <w:p w:rsidR="00EE086C" w:rsidP="00A01ED4" w:rsidRDefault="00EE086C" w14:paraId="233B7E0C" w14:textId="77777777">
      <w:pPr>
        <w:pStyle w:val="00BodyText"/>
        <w:spacing w:after="0"/>
        <w:rPr>
          <w:rFonts w:ascii="Times New Roman" w:hAnsi="Times New Roman"/>
          <w:sz w:val="20"/>
          <w:lang w:val="en-GB"/>
        </w:rPr>
      </w:pPr>
    </w:p>
    <w:p w:rsidR="00EE086C" w:rsidP="00A01ED4" w:rsidRDefault="00EE086C" w14:paraId="32F4DBA4" w14:textId="49DF2EE8">
      <w:pPr>
        <w:pStyle w:val="00BodyText"/>
        <w:spacing w:after="0"/>
        <w:rPr>
          <w:rFonts w:ascii="Times New Roman" w:hAnsi="Times New Roman"/>
          <w:b/>
          <w:bCs/>
          <w:sz w:val="20"/>
          <w:lang w:val="en-GB"/>
        </w:rPr>
      </w:pPr>
      <w:r w:rsidRPr="00EE086C">
        <w:rPr>
          <w:rFonts w:ascii="Times New Roman" w:hAnsi="Times New Roman"/>
          <w:b/>
          <w:bCs/>
          <w:sz w:val="20"/>
          <w:lang w:val="en-GB"/>
        </w:rPr>
        <w:t xml:space="preserve">Proposal </w:t>
      </w:r>
      <w:r w:rsidR="000009B0">
        <w:rPr>
          <w:rFonts w:ascii="Times New Roman" w:hAnsi="Times New Roman"/>
          <w:b/>
          <w:bCs/>
          <w:sz w:val="20"/>
          <w:lang w:val="en-GB"/>
        </w:rPr>
        <w:t>3</w:t>
      </w:r>
      <w:r w:rsidRPr="00EE086C">
        <w:rPr>
          <w:rFonts w:ascii="Times New Roman" w:hAnsi="Times New Roman"/>
          <w:b/>
          <w:bCs/>
          <w:sz w:val="20"/>
          <w:lang w:val="en-GB"/>
        </w:rPr>
        <w:t xml:space="preserve">: RAN3 </w:t>
      </w:r>
      <w:r w:rsidR="00803228">
        <w:rPr>
          <w:rFonts w:ascii="Times New Roman" w:hAnsi="Times New Roman"/>
          <w:b/>
          <w:bCs/>
          <w:sz w:val="20"/>
          <w:lang w:val="en-GB"/>
        </w:rPr>
        <w:t xml:space="preserve">to </w:t>
      </w:r>
      <w:r w:rsidR="00954825">
        <w:rPr>
          <w:rFonts w:ascii="Times New Roman" w:hAnsi="Times New Roman"/>
          <w:b/>
          <w:bCs/>
          <w:sz w:val="20"/>
          <w:lang w:val="en-GB"/>
        </w:rPr>
        <w:t>propose</w:t>
      </w:r>
      <w:r w:rsidR="00803228">
        <w:rPr>
          <w:rFonts w:ascii="Times New Roman" w:hAnsi="Times New Roman"/>
          <w:b/>
          <w:bCs/>
          <w:sz w:val="20"/>
          <w:lang w:val="en-GB"/>
        </w:rPr>
        <w:t xml:space="preserve"> option 2 for sending RVQoE reports after the threshold is met, periodically</w:t>
      </w:r>
      <w:r w:rsidR="00954825">
        <w:rPr>
          <w:rFonts w:ascii="Times New Roman" w:hAnsi="Times New Roman"/>
          <w:b/>
          <w:bCs/>
          <w:sz w:val="20"/>
          <w:lang w:val="en-GB"/>
        </w:rPr>
        <w:t xml:space="preserve"> as long as the condition holds,</w:t>
      </w:r>
      <w:r w:rsidR="00803228">
        <w:rPr>
          <w:rFonts w:ascii="Times New Roman" w:hAnsi="Times New Roman"/>
          <w:b/>
          <w:bCs/>
          <w:sz w:val="20"/>
          <w:lang w:val="en-GB"/>
        </w:rPr>
        <w:t xml:space="preserve"> based on a gNB configured reporting periodicity</w:t>
      </w:r>
      <w:r w:rsidR="00985779">
        <w:rPr>
          <w:rFonts w:ascii="Times New Roman" w:hAnsi="Times New Roman"/>
          <w:b/>
          <w:bCs/>
          <w:sz w:val="20"/>
          <w:lang w:val="en-GB"/>
        </w:rPr>
        <w:t xml:space="preserve"> and to ask SA4 for confirmation of the feasibility of option 2.</w:t>
      </w:r>
      <w:r w:rsidR="007F02F6">
        <w:rPr>
          <w:rFonts w:ascii="Times New Roman" w:hAnsi="Times New Roman"/>
          <w:b/>
          <w:bCs/>
          <w:sz w:val="20"/>
          <w:lang w:val="en-GB"/>
        </w:rPr>
        <w:t xml:space="preserve"> </w:t>
      </w:r>
    </w:p>
    <w:p w:rsidR="000009B0" w:rsidP="00A01ED4" w:rsidRDefault="000009B0" w14:paraId="437B712F" w14:textId="77777777">
      <w:pPr>
        <w:pStyle w:val="00BodyText"/>
        <w:spacing w:after="0"/>
        <w:rPr>
          <w:rFonts w:ascii="Times New Roman" w:hAnsi="Times New Roman"/>
          <w:b/>
          <w:bCs/>
          <w:sz w:val="20"/>
          <w:lang w:val="en-GB"/>
        </w:rPr>
      </w:pPr>
    </w:p>
    <w:p w:rsidR="000009B0" w:rsidP="000009B0" w:rsidRDefault="000009B0" w14:paraId="7A2242AC" w14:textId="3B0C7F0A">
      <w:pPr>
        <w:pStyle w:val="00BodyText"/>
        <w:spacing w:after="0"/>
        <w:rPr>
          <w:rFonts w:ascii="Times New Roman" w:hAnsi="Times New Roman"/>
          <w:b/>
          <w:bCs/>
          <w:sz w:val="20"/>
          <w:lang w:val="en-GB"/>
        </w:rPr>
      </w:pPr>
      <w:r w:rsidRPr="00301CB3">
        <w:rPr>
          <w:rFonts w:ascii="Times New Roman" w:hAnsi="Times New Roman"/>
          <w:b/>
          <w:bCs/>
          <w:sz w:val="20"/>
          <w:lang w:val="en-GB"/>
        </w:rPr>
        <w:t xml:space="preserve">Proposal </w:t>
      </w:r>
      <w:r>
        <w:rPr>
          <w:rFonts w:ascii="Times New Roman" w:hAnsi="Times New Roman"/>
          <w:b/>
          <w:bCs/>
          <w:sz w:val="20"/>
          <w:lang w:val="en-GB"/>
        </w:rPr>
        <w:t>4</w:t>
      </w:r>
      <w:r w:rsidRPr="00301CB3">
        <w:rPr>
          <w:rFonts w:ascii="Times New Roman" w:hAnsi="Times New Roman"/>
          <w:b/>
          <w:bCs/>
          <w:sz w:val="20"/>
          <w:lang w:val="en-GB"/>
        </w:rPr>
        <w:t xml:space="preserve">: RAN3 to send LS to SA4 to confirm whether SA4 shall handle the decision of the </w:t>
      </w:r>
      <w:r>
        <w:rPr>
          <w:rFonts w:ascii="Times New Roman" w:hAnsi="Times New Roman"/>
          <w:b/>
          <w:bCs/>
          <w:sz w:val="20"/>
          <w:lang w:val="en-GB"/>
        </w:rPr>
        <w:t xml:space="preserve">start </w:t>
      </w:r>
      <w:r w:rsidRPr="00301CB3">
        <w:rPr>
          <w:rFonts w:ascii="Times New Roman" w:hAnsi="Times New Roman"/>
          <w:b/>
          <w:bCs/>
          <w:sz w:val="20"/>
          <w:lang w:val="en-GB"/>
        </w:rPr>
        <w:t xml:space="preserve">time of threshold-based buffer level </w:t>
      </w:r>
      <w:r>
        <w:rPr>
          <w:rFonts w:ascii="Times New Roman" w:hAnsi="Times New Roman"/>
          <w:b/>
          <w:bCs/>
          <w:sz w:val="20"/>
          <w:lang w:val="en-GB"/>
        </w:rPr>
        <w:t>reporting</w:t>
      </w:r>
      <w:r w:rsidRPr="00301CB3">
        <w:rPr>
          <w:rFonts w:ascii="Times New Roman" w:hAnsi="Times New Roman"/>
          <w:b/>
          <w:bCs/>
          <w:sz w:val="20"/>
          <w:lang w:val="en-GB"/>
        </w:rPr>
        <w:t xml:space="preserve"> and </w:t>
      </w:r>
      <w:r>
        <w:rPr>
          <w:rFonts w:ascii="Times New Roman" w:hAnsi="Times New Roman"/>
          <w:b/>
          <w:bCs/>
          <w:sz w:val="20"/>
          <w:lang w:val="en-GB"/>
        </w:rPr>
        <w:t xml:space="preserve">to discuss </w:t>
      </w:r>
      <w:r w:rsidRPr="00301CB3">
        <w:rPr>
          <w:rFonts w:ascii="Times New Roman" w:hAnsi="Times New Roman"/>
          <w:b/>
          <w:bCs/>
          <w:sz w:val="20"/>
          <w:lang w:val="en-GB"/>
        </w:rPr>
        <w:t>benefit and feasibility of time to trigger</w:t>
      </w:r>
      <w:r>
        <w:rPr>
          <w:rFonts w:ascii="Times New Roman" w:hAnsi="Times New Roman"/>
          <w:b/>
          <w:bCs/>
          <w:sz w:val="20"/>
          <w:lang w:val="en-GB"/>
        </w:rPr>
        <w:t xml:space="preserve"> for threshold-based RVQoE</w:t>
      </w:r>
      <w:r w:rsidR="00831BC3">
        <w:rPr>
          <w:rFonts w:ascii="Times New Roman" w:hAnsi="Times New Roman"/>
          <w:b/>
          <w:bCs/>
          <w:sz w:val="20"/>
          <w:lang w:val="en-GB"/>
        </w:rPr>
        <w:t xml:space="preserve"> as well as </w:t>
      </w:r>
      <w:r w:rsidR="00E51BF4">
        <w:rPr>
          <w:rFonts w:ascii="Times New Roman" w:hAnsi="Times New Roman"/>
          <w:b/>
          <w:bCs/>
          <w:sz w:val="20"/>
          <w:lang w:val="en-GB"/>
        </w:rPr>
        <w:t xml:space="preserve">if </w:t>
      </w:r>
      <w:r w:rsidR="00831BC3">
        <w:rPr>
          <w:rFonts w:ascii="Times New Roman" w:hAnsi="Times New Roman"/>
          <w:b/>
          <w:bCs/>
          <w:sz w:val="20"/>
          <w:lang w:val="en-GB"/>
        </w:rPr>
        <w:t xml:space="preserve">option 2 </w:t>
      </w:r>
      <w:r w:rsidR="00E51BF4">
        <w:rPr>
          <w:rFonts w:ascii="Times New Roman" w:hAnsi="Times New Roman"/>
          <w:b/>
          <w:bCs/>
          <w:sz w:val="20"/>
          <w:lang w:val="en-GB"/>
        </w:rPr>
        <w:t xml:space="preserve">is the better option </w:t>
      </w:r>
      <w:r w:rsidR="00831BC3">
        <w:rPr>
          <w:rFonts w:ascii="Times New Roman" w:hAnsi="Times New Roman"/>
          <w:b/>
          <w:bCs/>
          <w:sz w:val="20"/>
          <w:lang w:val="en-GB"/>
        </w:rPr>
        <w:t>for sending RVQoE reports after the threshold is met</w:t>
      </w:r>
      <w:r w:rsidRPr="00301CB3">
        <w:rPr>
          <w:rFonts w:ascii="Times New Roman" w:hAnsi="Times New Roman"/>
          <w:b/>
          <w:bCs/>
          <w:sz w:val="20"/>
          <w:lang w:val="en-GB"/>
        </w:rPr>
        <w:t>.</w:t>
      </w:r>
    </w:p>
    <w:p w:rsidRPr="00EE086C" w:rsidR="000009B0" w:rsidP="00A01ED4" w:rsidRDefault="000009B0" w14:paraId="46EF3951" w14:textId="77777777">
      <w:pPr>
        <w:pStyle w:val="00BodyText"/>
        <w:spacing w:after="0"/>
        <w:rPr>
          <w:rFonts w:ascii="Times New Roman" w:hAnsi="Times New Roman"/>
          <w:b/>
          <w:bCs/>
          <w:sz w:val="20"/>
          <w:lang w:val="en-GB"/>
        </w:rPr>
      </w:pPr>
    </w:p>
    <w:p w:rsidR="007A1F59" w:rsidP="00A358E4" w:rsidRDefault="00A358E4" w14:paraId="400AED74" w14:textId="407159B2">
      <w:pPr>
        <w:pStyle w:val="Heading2"/>
      </w:pPr>
      <w:r>
        <w:t>2.2</w:t>
      </w:r>
      <w:r w:rsidR="007A1F59">
        <w:tab/>
      </w:r>
      <w:r>
        <w:t>RVQoE</w:t>
      </w:r>
      <w:r w:rsidR="007A1F59">
        <w:t xml:space="preserve"> deactivation mechanism</w:t>
      </w:r>
    </w:p>
    <w:p w:rsidR="003A4F20" w:rsidP="003A4F20" w:rsidRDefault="00453715" w14:paraId="5A8A3533" w14:textId="2D6EFB1F">
      <w:pPr>
        <w:pStyle w:val="Heading2"/>
        <w:ind w:left="0" w:firstLine="0"/>
        <w:rPr>
          <w:rFonts w:ascii="Times New Roman" w:hAnsi="Times New Roman"/>
          <w:sz w:val="20"/>
        </w:rPr>
      </w:pPr>
      <w:r>
        <w:rPr>
          <w:rFonts w:ascii="Times New Roman" w:hAnsi="Times New Roman"/>
          <w:sz w:val="20"/>
        </w:rPr>
        <w:t xml:space="preserve">As already agreed </w:t>
      </w:r>
      <w:r w:rsidR="002E0B9F">
        <w:rPr>
          <w:rFonts w:ascii="Times New Roman" w:hAnsi="Times New Roman"/>
          <w:sz w:val="20"/>
        </w:rPr>
        <w:t>in RAN3#118</w:t>
      </w:r>
      <w:r w:rsidR="00226A29">
        <w:rPr>
          <w:rFonts w:ascii="Times New Roman" w:hAnsi="Times New Roman"/>
          <w:sz w:val="20"/>
        </w:rPr>
        <w:t>,</w:t>
      </w:r>
      <w:r w:rsidR="002E0B9F">
        <w:rPr>
          <w:rFonts w:ascii="Times New Roman" w:hAnsi="Times New Roman"/>
          <w:sz w:val="20"/>
        </w:rPr>
        <w:t xml:space="preserve"> DU is enabled to deactivate the </w:t>
      </w:r>
      <w:r w:rsidR="00CB712D">
        <w:rPr>
          <w:rFonts w:ascii="Times New Roman" w:hAnsi="Times New Roman"/>
          <w:sz w:val="20"/>
        </w:rPr>
        <w:t xml:space="preserve">RVQoE reports sent by the CU if required. This will </w:t>
      </w:r>
      <w:r w:rsidR="00226A29">
        <w:rPr>
          <w:rFonts w:ascii="Times New Roman" w:hAnsi="Times New Roman"/>
          <w:sz w:val="20"/>
        </w:rPr>
        <w:t xml:space="preserve">be achieved </w:t>
      </w:r>
      <w:r w:rsidR="003D0F44">
        <w:rPr>
          <w:rFonts w:ascii="Times New Roman" w:hAnsi="Times New Roman"/>
          <w:sz w:val="20"/>
        </w:rPr>
        <w:t xml:space="preserve">in the form of information exchanged between DU and CU via the F1 interface. However, so far </w:t>
      </w:r>
      <w:r w:rsidR="008F143C">
        <w:rPr>
          <w:rFonts w:ascii="Times New Roman" w:hAnsi="Times New Roman"/>
          <w:sz w:val="20"/>
        </w:rPr>
        <w:t xml:space="preserve">it is not clear in </w:t>
      </w:r>
      <w:r w:rsidR="003D0F44">
        <w:rPr>
          <w:rFonts w:ascii="Times New Roman" w:hAnsi="Times New Roman"/>
          <w:sz w:val="20"/>
        </w:rPr>
        <w:t>RAN3</w:t>
      </w:r>
      <w:r w:rsidR="008F143C">
        <w:rPr>
          <w:rFonts w:ascii="Times New Roman" w:hAnsi="Times New Roman"/>
          <w:sz w:val="20"/>
        </w:rPr>
        <w:t xml:space="preserve"> how the mechanism will </w:t>
      </w:r>
      <w:r w:rsidR="00E33299">
        <w:rPr>
          <w:rFonts w:ascii="Times New Roman" w:hAnsi="Times New Roman"/>
          <w:sz w:val="20"/>
        </w:rPr>
        <w:t>be established. To facilitate the discussion in RAN3#119bis-e there was a working assumption</w:t>
      </w:r>
      <w:r w:rsidR="00E045AB">
        <w:rPr>
          <w:rFonts w:ascii="Times New Roman" w:hAnsi="Times New Roman"/>
          <w:sz w:val="20"/>
        </w:rPr>
        <w:t xml:space="preserve"> </w:t>
      </w:r>
      <w:r w:rsidR="00E33299">
        <w:rPr>
          <w:rFonts w:ascii="Times New Roman" w:hAnsi="Times New Roman"/>
          <w:sz w:val="20"/>
        </w:rPr>
        <w:t>that a class-2 procedure is used for DU to deactivate the RVQoE reporting via F1</w:t>
      </w:r>
      <w:r w:rsidR="002F332E">
        <w:rPr>
          <w:rFonts w:ascii="Times New Roman" w:hAnsi="Times New Roman"/>
          <w:sz w:val="20"/>
        </w:rPr>
        <w:t>. H</w:t>
      </w:r>
      <w:r w:rsidR="00FC7B34">
        <w:rPr>
          <w:rFonts w:ascii="Times New Roman" w:hAnsi="Times New Roman"/>
          <w:sz w:val="20"/>
        </w:rPr>
        <w:t>owever</w:t>
      </w:r>
      <w:r w:rsidR="002F332E">
        <w:rPr>
          <w:rFonts w:ascii="Times New Roman" w:hAnsi="Times New Roman"/>
          <w:sz w:val="20"/>
        </w:rPr>
        <w:t>,</w:t>
      </w:r>
      <w:r w:rsidR="00EA3DD7">
        <w:rPr>
          <w:rFonts w:ascii="Times New Roman" w:hAnsi="Times New Roman"/>
          <w:sz w:val="20"/>
        </w:rPr>
        <w:t xml:space="preserve"> from the d</w:t>
      </w:r>
      <w:r w:rsidR="007A2D61">
        <w:rPr>
          <w:rFonts w:ascii="Times New Roman" w:hAnsi="Times New Roman"/>
          <w:sz w:val="20"/>
        </w:rPr>
        <w:t>i</w:t>
      </w:r>
      <w:r w:rsidR="00EA3DD7">
        <w:rPr>
          <w:rFonts w:ascii="Times New Roman" w:hAnsi="Times New Roman"/>
          <w:sz w:val="20"/>
        </w:rPr>
        <w:t>s</w:t>
      </w:r>
      <w:r w:rsidR="007A2D61">
        <w:rPr>
          <w:rFonts w:ascii="Times New Roman" w:hAnsi="Times New Roman"/>
          <w:sz w:val="20"/>
        </w:rPr>
        <w:t xml:space="preserve">cussion in RAN3 it is not clear if class-2 or legacy procedure will be </w:t>
      </w:r>
      <w:r w:rsidR="002F332E">
        <w:rPr>
          <w:rFonts w:ascii="Times New Roman" w:hAnsi="Times New Roman"/>
          <w:sz w:val="20"/>
        </w:rPr>
        <w:t xml:space="preserve">eventually </w:t>
      </w:r>
      <w:r w:rsidR="007A2D61">
        <w:rPr>
          <w:rFonts w:ascii="Times New Roman" w:hAnsi="Times New Roman"/>
          <w:sz w:val="20"/>
        </w:rPr>
        <w:t>used</w:t>
      </w:r>
      <w:r w:rsidR="00E33299">
        <w:rPr>
          <w:rFonts w:ascii="Times New Roman" w:hAnsi="Times New Roman"/>
          <w:sz w:val="20"/>
        </w:rPr>
        <w:t>.</w:t>
      </w:r>
      <w:r w:rsidR="00300CF4">
        <w:rPr>
          <w:rFonts w:ascii="Times New Roman" w:hAnsi="Times New Roman"/>
          <w:sz w:val="20"/>
        </w:rPr>
        <w:t xml:space="preserve"> Moreover, it is not clear if the signaling will be UE or non-UE associated.</w:t>
      </w:r>
      <w:r w:rsidR="00C410EA">
        <w:rPr>
          <w:rFonts w:ascii="Times New Roman" w:hAnsi="Times New Roman"/>
          <w:sz w:val="20"/>
        </w:rPr>
        <w:t xml:space="preserve"> Finally, it is yet to be decided if the DU triggered deactivation over F1 is </w:t>
      </w:r>
      <w:r w:rsidR="0005078F">
        <w:rPr>
          <w:rFonts w:ascii="Times New Roman" w:hAnsi="Times New Roman"/>
          <w:sz w:val="20"/>
        </w:rPr>
        <w:t xml:space="preserve">performed per RVQoE configuration and </w:t>
      </w:r>
      <w:r w:rsidR="00226A29">
        <w:rPr>
          <w:rFonts w:ascii="Times New Roman" w:hAnsi="Times New Roman"/>
          <w:sz w:val="20"/>
        </w:rPr>
        <w:t>if it pertains only to the present application session.</w:t>
      </w:r>
    </w:p>
    <w:p w:rsidR="00F940F2" w:rsidP="00F940F2" w:rsidRDefault="00972FAB" w14:paraId="5C7AD789" w14:textId="175283B3">
      <w:r>
        <w:t xml:space="preserve">In order to assess the benefits and drawbacks of each scenario let us </w:t>
      </w:r>
      <w:r w:rsidR="00946FD7">
        <w:t>list all possibilities:</w:t>
      </w:r>
    </w:p>
    <w:p w:rsidR="00F5133E" w:rsidP="00EE086C" w:rsidRDefault="00E12F14" w14:paraId="0703E0BB" w14:textId="2C9A4ECB">
      <w:pPr>
        <w:pStyle w:val="ListParagraph"/>
        <w:numPr>
          <w:ilvl w:val="0"/>
          <w:numId w:val="13"/>
        </w:numPr>
      </w:pPr>
      <w:r>
        <w:lastRenderedPageBreak/>
        <w:t xml:space="preserve">RVQoE </w:t>
      </w:r>
      <w:r w:rsidR="00EE086C">
        <w:t xml:space="preserve">reporting </w:t>
      </w:r>
      <w:r>
        <w:t>deactivation per</w:t>
      </w:r>
      <w:r w:rsidR="00F5133E">
        <w:t xml:space="preserve"> configuration</w:t>
      </w:r>
    </w:p>
    <w:p w:rsidR="00F5133E" w:rsidP="00EE086C" w:rsidRDefault="00F5133E" w14:paraId="1AA91CC4" w14:textId="122E4935">
      <w:pPr>
        <w:pStyle w:val="ListParagraph"/>
        <w:numPr>
          <w:ilvl w:val="0"/>
          <w:numId w:val="13"/>
        </w:numPr>
      </w:pPr>
      <w:r>
        <w:t xml:space="preserve">RVQoE </w:t>
      </w:r>
      <w:r w:rsidR="00EE086C">
        <w:t xml:space="preserve">reporting </w:t>
      </w:r>
      <w:r>
        <w:t>deactivation per UE</w:t>
      </w:r>
    </w:p>
    <w:p w:rsidR="00B71924" w:rsidP="00EE086C" w:rsidRDefault="00F5133E" w14:paraId="0A5E982F" w14:textId="288D565E">
      <w:pPr>
        <w:pStyle w:val="ListParagraph"/>
        <w:numPr>
          <w:ilvl w:val="0"/>
          <w:numId w:val="13"/>
        </w:numPr>
      </w:pPr>
      <w:r>
        <w:t xml:space="preserve">RVQoE </w:t>
      </w:r>
      <w:r w:rsidR="00EE086C">
        <w:t xml:space="preserve">reporting </w:t>
      </w:r>
      <w:r>
        <w:t>deactivation o</w:t>
      </w:r>
      <w:r w:rsidR="00B71924">
        <w:t>ver all UEs</w:t>
      </w:r>
      <w:r w:rsidR="0076103C">
        <w:t xml:space="preserve"> (i.e., whole RVQoE reporting over F1)</w:t>
      </w:r>
    </w:p>
    <w:p w:rsidR="00946FD7" w:rsidP="00B71924" w:rsidRDefault="00B71924" w14:paraId="4E136D35" w14:textId="4B58F91C">
      <w:r>
        <w:t xml:space="preserve">In case that option </w:t>
      </w:r>
      <w:r w:rsidR="00EE086C">
        <w:t>A</w:t>
      </w:r>
      <w:r>
        <w:t>) is chosen</w:t>
      </w:r>
      <w:r w:rsidR="00390F5B">
        <w:t>,</w:t>
      </w:r>
      <w:r>
        <w:t xml:space="preserve"> then there exists a finer granularity in terms of DU’s possible decisions with respect to deactivation of RVQoE reporting, as the DU can choose which reports are </w:t>
      </w:r>
      <w:r w:rsidR="00863683">
        <w:t xml:space="preserve">needed compared to others. On the other hand, this will require a more complex signaling and processing at </w:t>
      </w:r>
      <w:r w:rsidR="006234F8">
        <w:t xml:space="preserve">DU and CU. Following the discussion for option </w:t>
      </w:r>
      <w:r w:rsidR="00EE086C">
        <w:t>B</w:t>
      </w:r>
      <w:r w:rsidR="006234F8">
        <w:t xml:space="preserve">) if the RVQoE is deactivated per UE, then </w:t>
      </w:r>
      <w:r w:rsidR="006669BB">
        <w:t>DU can still differentiate some of the RVQoE reports based for instance on some priorities or preference per UE. That will introduce less signaling</w:t>
      </w:r>
      <w:r w:rsidR="000465AC">
        <w:t xml:space="preserve"> compared to option A)</w:t>
      </w:r>
      <w:r w:rsidR="006669BB">
        <w:t xml:space="preserve">, yet less granularity. Finally, for option </w:t>
      </w:r>
      <w:r w:rsidR="00EE086C">
        <w:t>C</w:t>
      </w:r>
      <w:r w:rsidR="006669BB">
        <w:t xml:space="preserve">) DU will only have an option whether to deactivate or not all RVQoE reports coming from CU. While this will provide less granularity and </w:t>
      </w:r>
      <w:r w:rsidR="000465AC">
        <w:t>possibilities</w:t>
      </w:r>
      <w:r w:rsidR="006669BB">
        <w:t xml:space="preserve"> for optimization at DU</w:t>
      </w:r>
      <w:r w:rsidR="000465AC">
        <w:t>, it</w:t>
      </w:r>
      <w:r w:rsidR="006669BB">
        <w:t xml:space="preserve"> will be the simplest and less complex solution from the signaling perspective, especially given the small number of RVQoE metrics </w:t>
      </w:r>
      <w:r w:rsidR="009547E3">
        <w:t xml:space="preserve">currently </w:t>
      </w:r>
      <w:r w:rsidR="006669BB">
        <w:t>available.</w:t>
      </w:r>
      <w:r w:rsidR="00F5133E">
        <w:t xml:space="preserve"> </w:t>
      </w:r>
    </w:p>
    <w:p w:rsidR="0076103C" w:rsidP="00B71924" w:rsidRDefault="00763F05" w14:paraId="22FA476A" w14:textId="47BD8BB6">
      <w:r>
        <w:t xml:space="preserve">Given the lower complexity introduced, for the given amount of available RVQoE metrics option </w:t>
      </w:r>
      <w:r w:rsidR="004C3812">
        <w:t>C</w:t>
      </w:r>
      <w:r w:rsidR="005D3B05">
        <w:t>)</w:t>
      </w:r>
      <w:r>
        <w:t xml:space="preserve"> seems currently the better alternative. Moreover, </w:t>
      </w:r>
      <w:r w:rsidR="00047123">
        <w:t>given that fact that one of the main benefits of RVQoE reports for DU is the use towards scheduling decisions, having reports only for some of the configurations or UEs cannot provide an overall picture of the used bearers and as such cannot help in any possible optimization. That said, DU either needs to receive all reports to be able to utilize them in scheduling decisions or no report</w:t>
      </w:r>
      <w:r w:rsidR="00DB6207">
        <w:t>s</w:t>
      </w:r>
      <w:r w:rsidR="00047123">
        <w:t xml:space="preserve"> at all.</w:t>
      </w:r>
    </w:p>
    <w:p w:rsidR="00047123" w:rsidP="00B71924" w:rsidRDefault="003E3593" w14:paraId="1B61361E" w14:textId="136E1947">
      <w:pPr>
        <w:rPr>
          <w:b/>
          <w:bCs/>
        </w:rPr>
      </w:pPr>
      <w:r w:rsidRPr="003E3593">
        <w:rPr>
          <w:b/>
          <w:bCs/>
        </w:rPr>
        <w:t xml:space="preserve">Observation </w:t>
      </w:r>
      <w:r w:rsidR="00EE086C">
        <w:rPr>
          <w:b/>
          <w:bCs/>
        </w:rPr>
        <w:t>3</w:t>
      </w:r>
      <w:r w:rsidRPr="003E3593">
        <w:rPr>
          <w:b/>
          <w:bCs/>
        </w:rPr>
        <w:t xml:space="preserve">: </w:t>
      </w:r>
      <w:r w:rsidRPr="003E3593" w:rsidR="00047123">
        <w:rPr>
          <w:b/>
          <w:bCs/>
        </w:rPr>
        <w:t xml:space="preserve">Following the above discussion, if option </w:t>
      </w:r>
      <w:r w:rsidR="00EE086C">
        <w:rPr>
          <w:b/>
          <w:bCs/>
        </w:rPr>
        <w:t>C</w:t>
      </w:r>
      <w:r w:rsidRPr="003E3593" w:rsidR="00047123">
        <w:rPr>
          <w:b/>
          <w:bCs/>
        </w:rPr>
        <w:t xml:space="preserve"> is chosen, then the deactivation mechanism can </w:t>
      </w:r>
      <w:r w:rsidR="00FA3493">
        <w:rPr>
          <w:b/>
          <w:bCs/>
        </w:rPr>
        <w:t xml:space="preserve">be </w:t>
      </w:r>
      <w:r w:rsidRPr="003E3593" w:rsidR="00047123">
        <w:rPr>
          <w:b/>
          <w:bCs/>
        </w:rPr>
        <w:t xml:space="preserve">achieved by utilizing non-UE associated signaling. </w:t>
      </w:r>
      <w:r w:rsidRPr="003E3593">
        <w:rPr>
          <w:b/>
          <w:bCs/>
        </w:rPr>
        <w:t>For instance, by using existing F1 Setup procedure or gNB-DU Configuration Update procedure as explained in [3]. That way, DU has the flexibility to choose the deactivation of RVQoE either for present application sessions or before the session starts.</w:t>
      </w:r>
    </w:p>
    <w:p w:rsidR="003E3593" w:rsidP="00B71924" w:rsidRDefault="003E3593" w14:paraId="5CC1C057" w14:textId="6D13A434">
      <w:pPr>
        <w:rPr>
          <w:b/>
          <w:bCs/>
        </w:rPr>
      </w:pPr>
      <w:r>
        <w:rPr>
          <w:b/>
          <w:bCs/>
        </w:rPr>
        <w:t xml:space="preserve">Proposal </w:t>
      </w:r>
      <w:r w:rsidR="00EE086C">
        <w:rPr>
          <w:b/>
          <w:bCs/>
        </w:rPr>
        <w:t>5</w:t>
      </w:r>
      <w:r>
        <w:rPr>
          <w:b/>
          <w:bCs/>
        </w:rPr>
        <w:t xml:space="preserve">: RAN3 to decide on </w:t>
      </w:r>
      <w:r w:rsidR="00FA3493">
        <w:rPr>
          <w:b/>
          <w:bCs/>
        </w:rPr>
        <w:t xml:space="preserve">a </w:t>
      </w:r>
      <w:r>
        <w:rPr>
          <w:b/>
          <w:bCs/>
        </w:rPr>
        <w:t>mechanism that enable</w:t>
      </w:r>
      <w:r w:rsidR="00FA3493">
        <w:rPr>
          <w:b/>
          <w:bCs/>
        </w:rPr>
        <w:t>s</w:t>
      </w:r>
      <w:r>
        <w:rPr>
          <w:b/>
          <w:bCs/>
        </w:rPr>
        <w:t xml:space="preserve"> the RVQoE reporting deactivation </w:t>
      </w:r>
      <w:r w:rsidR="00FA3493">
        <w:rPr>
          <w:b/>
          <w:bCs/>
        </w:rPr>
        <w:t>for</w:t>
      </w:r>
      <w:r>
        <w:rPr>
          <w:b/>
          <w:bCs/>
        </w:rPr>
        <w:t xml:space="preserve"> all UEs</w:t>
      </w:r>
      <w:r w:rsidR="00FA3493">
        <w:rPr>
          <w:b/>
          <w:bCs/>
        </w:rPr>
        <w:t xml:space="preserve"> at once.</w:t>
      </w:r>
    </w:p>
    <w:p w:rsidRPr="00EE086C" w:rsidR="003E3593" w:rsidP="00B71924" w:rsidRDefault="003E3593" w14:paraId="65275675" w14:textId="3B74395C">
      <w:pPr>
        <w:rPr>
          <w:b/>
          <w:bCs/>
        </w:rPr>
      </w:pPr>
      <w:r>
        <w:rPr>
          <w:b/>
          <w:bCs/>
        </w:rPr>
        <w:t xml:space="preserve">Proposal </w:t>
      </w:r>
      <w:r w:rsidR="00EE086C">
        <w:rPr>
          <w:b/>
          <w:bCs/>
        </w:rPr>
        <w:t>6</w:t>
      </w:r>
      <w:r>
        <w:rPr>
          <w:b/>
          <w:bCs/>
        </w:rPr>
        <w:t>: RAN3 to utilize</w:t>
      </w:r>
      <w:r w:rsidR="002C65C3">
        <w:rPr>
          <w:b/>
          <w:bCs/>
        </w:rPr>
        <w:t xml:space="preserve"> and enhance</w:t>
      </w:r>
      <w:r>
        <w:rPr>
          <w:b/>
          <w:bCs/>
        </w:rPr>
        <w:t xml:space="preserve"> existing non-UE associated signaling </w:t>
      </w:r>
      <w:r w:rsidR="00C730FA">
        <w:rPr>
          <w:b/>
          <w:bCs/>
        </w:rPr>
        <w:t>to indicate</w:t>
      </w:r>
      <w:r>
        <w:rPr>
          <w:b/>
          <w:bCs/>
        </w:rPr>
        <w:t xml:space="preserve"> RVQoE reporting deactivation </w:t>
      </w:r>
      <w:r w:rsidR="00C730FA">
        <w:rPr>
          <w:b/>
          <w:bCs/>
        </w:rPr>
        <w:t xml:space="preserve">information </w:t>
      </w:r>
      <w:r>
        <w:rPr>
          <w:b/>
          <w:bCs/>
        </w:rPr>
        <w:t>such as F1 SETUP REQUEST</w:t>
      </w:r>
      <w:r w:rsidR="00C730FA">
        <w:rPr>
          <w:b/>
          <w:bCs/>
        </w:rPr>
        <w:t xml:space="preserve"> and gNB</w:t>
      </w:r>
      <w:r w:rsidR="008901A4">
        <w:rPr>
          <w:b/>
          <w:bCs/>
        </w:rPr>
        <w:t>-DU</w:t>
      </w:r>
      <w:r w:rsidR="002C65C3">
        <w:rPr>
          <w:b/>
          <w:bCs/>
        </w:rPr>
        <w:t xml:space="preserve"> CONFIGURATION UPDATE.</w:t>
      </w:r>
      <w:r w:rsidR="008901A4">
        <w:rPr>
          <w:b/>
          <w:bCs/>
        </w:rPr>
        <w:t xml:space="preserve"> </w:t>
      </w:r>
    </w:p>
    <w:p w:rsidR="003A4F20" w:rsidP="003A4F20" w:rsidRDefault="003A4F20" w14:paraId="26193401" w14:textId="68C6EA2A">
      <w:pPr>
        <w:pStyle w:val="Heading2"/>
      </w:pPr>
      <w:r>
        <w:t xml:space="preserve">2.3 </w:t>
      </w:r>
      <w:r>
        <w:tab/>
      </w:r>
      <w:r>
        <w:t>DU participation in RVQoE assembling</w:t>
      </w:r>
    </w:p>
    <w:p w:rsidR="00AE51EE" w:rsidP="00AE51EE" w:rsidRDefault="00AE51EE" w14:paraId="4AF8A356" w14:textId="53B123B2">
      <w:r>
        <w:t xml:space="preserve">In current RAN3 discussions companies argue about the possibility of DU participation in RVQoE assembling. </w:t>
      </w:r>
      <w:r w:rsidR="00C93EC1">
        <w:t xml:space="preserve">However, </w:t>
      </w:r>
      <w:r w:rsidR="000B2F60">
        <w:t xml:space="preserve">it is not clear what is the trade-off between the benefit and </w:t>
      </w:r>
      <w:r w:rsidR="005F3F11">
        <w:t xml:space="preserve">overhead of introducing such a mechanism at the current stage. </w:t>
      </w:r>
      <w:r>
        <w:t>So far, the</w:t>
      </w:r>
      <w:r w:rsidR="00185F87">
        <w:t xml:space="preserve">re are </w:t>
      </w:r>
      <w:r>
        <w:t xml:space="preserve">only </w:t>
      </w:r>
      <w:r w:rsidR="00185F87">
        <w:t xml:space="preserve">two </w:t>
      </w:r>
      <w:r>
        <w:t xml:space="preserve">agreed </w:t>
      </w:r>
      <w:r w:rsidR="00185F87">
        <w:t>RVQoE</w:t>
      </w:r>
      <w:r w:rsidR="009C69E5">
        <w:t xml:space="preserve"> metrics</w:t>
      </w:r>
      <w:r w:rsidR="00185F87">
        <w:t xml:space="preserve"> and for</w:t>
      </w:r>
      <w:r>
        <w:t xml:space="preserve"> the DU to participate in the assembling of RVQoE configuration that would mean that further enhancements will be required on the F1 interface. However, considering the small number of </w:t>
      </w:r>
      <w:r w:rsidR="00185F87">
        <w:t>available RVQoE</w:t>
      </w:r>
      <w:r>
        <w:t xml:space="preserve"> metrics, we do not see a substantial benefit to let the DU suggest the configuration of RVQoE at this stage. </w:t>
      </w:r>
      <w:r w:rsidR="00325309">
        <w:t xml:space="preserve">Moreover, it can occur that a single CU will be responsible for multiple DUs. Therefore, if every DU </w:t>
      </w:r>
      <w:r w:rsidR="00D14201">
        <w:t>decides for a different configuration it may result in a complex CU decision</w:t>
      </w:r>
      <w:r w:rsidR="002C2DBC">
        <w:t>.</w:t>
      </w:r>
    </w:p>
    <w:p w:rsidRPr="00A358E4" w:rsidR="00A358E4" w:rsidP="00E12F14" w:rsidRDefault="00AE51EE" w14:paraId="03B367F9" w14:textId="288526DD">
      <w:pPr>
        <w:jc w:val="both"/>
      </w:pPr>
      <w:r>
        <w:rPr>
          <w:b/>
          <w:bCs/>
        </w:rPr>
        <w:t xml:space="preserve">Proposal </w:t>
      </w:r>
      <w:r w:rsidR="00EE086C">
        <w:rPr>
          <w:b/>
          <w:bCs/>
        </w:rPr>
        <w:t>7</w:t>
      </w:r>
      <w:r>
        <w:rPr>
          <w:b/>
          <w:bCs/>
        </w:rPr>
        <w:t>: RAN3 to not consider the DU involvement in the RAN visible QoE configuration at this stage.</w:t>
      </w:r>
    </w:p>
    <w:p w:rsidRPr="006E13D1" w:rsidR="00CD4C7B" w:rsidP="00CD4C7B" w:rsidRDefault="00972FD7" w14:paraId="26302442" w14:textId="77777777">
      <w:pPr>
        <w:pStyle w:val="Heading1"/>
      </w:pPr>
      <w:r>
        <w:t>3</w:t>
      </w:r>
      <w:r w:rsidRPr="006E13D1" w:rsidR="00CD4C7B">
        <w:tab/>
      </w:r>
      <w:r>
        <w:t>Conclusion</w:t>
      </w:r>
    </w:p>
    <w:p w:rsidR="00CD4C7B" w:rsidP="00CD4C7B" w:rsidRDefault="001D2814" w14:paraId="1FEBCA66" w14:textId="1250BE0E">
      <w:r>
        <w:t xml:space="preserve">We have made the following </w:t>
      </w:r>
      <w:r w:rsidR="007A1F59">
        <w:t xml:space="preserve">observations and </w:t>
      </w:r>
      <w:r>
        <w:t>proposals:</w:t>
      </w:r>
    </w:p>
    <w:p w:rsidRPr="00301CB3" w:rsidR="006D1EA3" w:rsidP="006D1EA3" w:rsidRDefault="006D1EA3" w14:paraId="049247FE" w14:textId="77777777">
      <w:pPr>
        <w:pStyle w:val="00BodyText"/>
        <w:spacing w:after="0"/>
        <w:rPr>
          <w:rFonts w:ascii="Times New Roman" w:hAnsi="Times New Roman"/>
          <w:b/>
          <w:bCs/>
          <w:sz w:val="20"/>
          <w:lang w:val="en-GB"/>
        </w:rPr>
      </w:pPr>
      <w:r w:rsidRPr="00301CB3">
        <w:rPr>
          <w:rFonts w:ascii="Times New Roman" w:hAnsi="Times New Roman"/>
          <w:b/>
          <w:bCs/>
          <w:sz w:val="20"/>
          <w:lang w:val="en-GB"/>
        </w:rPr>
        <w:t>Proposal 1: Since UE application layer will be responsible for triggering of buffer level threshold-based RVQoE reporting based on SA4</w:t>
      </w:r>
      <w:r>
        <w:rPr>
          <w:rFonts w:ascii="Times New Roman" w:hAnsi="Times New Roman"/>
          <w:b/>
          <w:bCs/>
          <w:sz w:val="20"/>
          <w:lang w:val="en-GB"/>
        </w:rPr>
        <w:t>’s</w:t>
      </w:r>
      <w:r w:rsidRPr="00301CB3">
        <w:rPr>
          <w:rFonts w:ascii="Times New Roman" w:hAnsi="Times New Roman"/>
          <w:b/>
          <w:bCs/>
          <w:sz w:val="20"/>
          <w:lang w:val="en-GB"/>
        </w:rPr>
        <w:t xml:space="preserve"> reply to RAN2, it shall be SA4’s decision on the time </w:t>
      </w:r>
      <w:r>
        <w:rPr>
          <w:rFonts w:ascii="Times New Roman" w:hAnsi="Times New Roman"/>
          <w:b/>
          <w:bCs/>
          <w:sz w:val="20"/>
          <w:lang w:val="en-GB"/>
        </w:rPr>
        <w:t xml:space="preserve">of the start of </w:t>
      </w:r>
      <w:r w:rsidRPr="00301CB3">
        <w:rPr>
          <w:rFonts w:ascii="Times New Roman" w:hAnsi="Times New Roman"/>
          <w:b/>
          <w:bCs/>
          <w:sz w:val="20"/>
          <w:lang w:val="en-GB"/>
        </w:rPr>
        <w:t>the reporting.</w:t>
      </w:r>
    </w:p>
    <w:p w:rsidR="006D1EA3" w:rsidP="006D1EA3" w:rsidRDefault="006D1EA3" w14:paraId="7AE08E72" w14:textId="77777777">
      <w:pPr>
        <w:pStyle w:val="00BodyText"/>
        <w:spacing w:after="0"/>
        <w:rPr>
          <w:rFonts w:ascii="Times New Roman" w:hAnsi="Times New Roman"/>
          <w:sz w:val="20"/>
          <w:lang w:val="en-GB"/>
        </w:rPr>
      </w:pPr>
    </w:p>
    <w:p w:rsidR="006D1EA3" w:rsidP="006D1EA3" w:rsidRDefault="006D1EA3" w14:paraId="13C5ADF1" w14:textId="77777777">
      <w:pPr>
        <w:pStyle w:val="00BodyText"/>
        <w:spacing w:after="0"/>
        <w:rPr>
          <w:rFonts w:ascii="Times New Roman" w:hAnsi="Times New Roman"/>
          <w:b/>
          <w:bCs/>
          <w:sz w:val="20"/>
          <w:lang w:val="en-GB"/>
        </w:rPr>
      </w:pPr>
      <w:r w:rsidRPr="00301CB3">
        <w:rPr>
          <w:rFonts w:ascii="Times New Roman" w:hAnsi="Times New Roman"/>
          <w:b/>
          <w:bCs/>
          <w:sz w:val="20"/>
          <w:lang w:val="en-GB"/>
        </w:rPr>
        <w:t xml:space="preserve">Observation 1: Following the above discussion, given the FFS in RAN3 with respect to the introduction of time to trigger (TTI) for threshold-based </w:t>
      </w:r>
      <w:r>
        <w:rPr>
          <w:rFonts w:ascii="Times New Roman" w:hAnsi="Times New Roman"/>
          <w:b/>
          <w:bCs/>
          <w:sz w:val="20"/>
          <w:lang w:val="en-GB"/>
        </w:rPr>
        <w:t>RVQoE</w:t>
      </w:r>
      <w:r w:rsidRPr="00301CB3">
        <w:rPr>
          <w:rFonts w:ascii="Times New Roman" w:hAnsi="Times New Roman"/>
          <w:b/>
          <w:bCs/>
          <w:sz w:val="20"/>
          <w:lang w:val="en-GB"/>
        </w:rPr>
        <w:t>, it becomes apparent that the UE application layer will need to handle TTI if introduced</w:t>
      </w:r>
      <w:r>
        <w:rPr>
          <w:rFonts w:ascii="Times New Roman" w:hAnsi="Times New Roman"/>
          <w:b/>
          <w:bCs/>
          <w:sz w:val="20"/>
          <w:lang w:val="en-GB"/>
        </w:rPr>
        <w:t>,</w:t>
      </w:r>
      <w:r w:rsidRPr="00301CB3">
        <w:rPr>
          <w:rFonts w:ascii="Times New Roman" w:hAnsi="Times New Roman"/>
          <w:b/>
          <w:bCs/>
          <w:sz w:val="20"/>
          <w:lang w:val="en-GB"/>
        </w:rPr>
        <w:t xml:space="preserve"> since UE application layer will be responsible for checking and reporting buffer level threshold-based RVQoE.</w:t>
      </w:r>
    </w:p>
    <w:p w:rsidR="006D1EA3" w:rsidP="006D1EA3" w:rsidRDefault="006D1EA3" w14:paraId="21AEBA37" w14:textId="77777777">
      <w:pPr>
        <w:pStyle w:val="00BodyText"/>
        <w:spacing w:after="0"/>
        <w:rPr>
          <w:rFonts w:ascii="Times New Roman" w:hAnsi="Times New Roman"/>
          <w:b/>
          <w:bCs/>
          <w:sz w:val="20"/>
          <w:lang w:val="en-GB"/>
        </w:rPr>
      </w:pPr>
    </w:p>
    <w:p w:rsidR="006D1EA3" w:rsidP="006D1EA3" w:rsidRDefault="006D1EA3" w14:paraId="472A8448" w14:textId="77777777">
      <w:pPr>
        <w:pStyle w:val="00BodyText"/>
        <w:spacing w:after="0"/>
        <w:rPr>
          <w:rFonts w:ascii="Times New Roman" w:hAnsi="Times New Roman"/>
          <w:b/>
          <w:bCs/>
          <w:sz w:val="20"/>
          <w:lang w:val="en-GB"/>
        </w:rPr>
      </w:pPr>
      <w:r>
        <w:rPr>
          <w:rFonts w:ascii="Times New Roman" w:hAnsi="Times New Roman"/>
          <w:b/>
          <w:bCs/>
          <w:sz w:val="20"/>
          <w:lang w:val="en-GB"/>
        </w:rPr>
        <w:t>Proposal 2: Given that time to trigger for buffer level threshold-based RVQoE if agreed will be handled at UE application layer, it shall be SA4’s decision to decide if time to trigger is needed and therefore RAN3 shall wait first for SA’4 feedback.</w:t>
      </w:r>
    </w:p>
    <w:p w:rsidR="006D1EA3" w:rsidP="006D1EA3" w:rsidRDefault="006D1EA3" w14:paraId="3E294EBD" w14:textId="77777777">
      <w:pPr>
        <w:pStyle w:val="00BodyText"/>
        <w:spacing w:after="0"/>
        <w:rPr>
          <w:rFonts w:ascii="Times New Roman" w:hAnsi="Times New Roman"/>
          <w:b/>
          <w:bCs/>
          <w:sz w:val="20"/>
          <w:lang w:val="en-GB"/>
        </w:rPr>
      </w:pPr>
    </w:p>
    <w:p w:rsidRPr="00EE086C" w:rsidR="006D1EA3" w:rsidP="006D1EA3" w:rsidRDefault="006D1EA3" w14:paraId="29643D62" w14:textId="6D368723">
      <w:pPr>
        <w:pStyle w:val="00BodyText"/>
        <w:spacing w:after="0"/>
        <w:rPr>
          <w:rFonts w:ascii="Times New Roman" w:hAnsi="Times New Roman"/>
          <w:b/>
          <w:bCs/>
          <w:sz w:val="20"/>
          <w:lang w:val="en-GB"/>
        </w:rPr>
      </w:pPr>
      <w:r w:rsidRPr="00EE086C">
        <w:rPr>
          <w:rFonts w:ascii="Times New Roman" w:hAnsi="Times New Roman"/>
          <w:b/>
          <w:bCs/>
          <w:sz w:val="20"/>
          <w:lang w:val="en-GB"/>
        </w:rPr>
        <w:t xml:space="preserve">Observation 2: While option 1) provides better means for the gNB to optimize the RVQoE mechanism, it introduces extra signaling compared to option 2 and 3. </w:t>
      </w:r>
      <w:r>
        <w:rPr>
          <w:rFonts w:ascii="Times New Roman" w:hAnsi="Times New Roman"/>
          <w:b/>
          <w:bCs/>
          <w:sz w:val="20"/>
          <w:lang w:val="en-GB"/>
        </w:rPr>
        <w:t xml:space="preserve"> On the other hand, while comparing option 2 and 3, the </w:t>
      </w:r>
      <w:r>
        <w:rPr>
          <w:rFonts w:ascii="Times New Roman" w:hAnsi="Times New Roman"/>
          <w:b/>
          <w:bCs/>
          <w:sz w:val="20"/>
          <w:lang w:val="en-GB"/>
        </w:rPr>
        <w:lastRenderedPageBreak/>
        <w:t xml:space="preserve">latter requires extra information to be configured at the UE. Therefore, option 2 seems to be the most reasonable solution. </w:t>
      </w:r>
    </w:p>
    <w:p w:rsidR="006D1EA3" w:rsidP="006D1EA3" w:rsidRDefault="006D1EA3" w14:paraId="0593AFF9" w14:textId="77777777">
      <w:pPr>
        <w:pStyle w:val="00BodyText"/>
        <w:spacing w:after="0"/>
        <w:rPr>
          <w:rFonts w:ascii="Times New Roman" w:hAnsi="Times New Roman"/>
          <w:sz w:val="20"/>
          <w:lang w:val="en-GB"/>
        </w:rPr>
      </w:pPr>
    </w:p>
    <w:p w:rsidR="006D1EA3" w:rsidP="006D1EA3" w:rsidRDefault="006D1EA3" w14:paraId="0DD28EFE" w14:textId="77777777">
      <w:pPr>
        <w:pStyle w:val="00BodyText"/>
        <w:spacing w:after="0"/>
        <w:rPr>
          <w:rFonts w:ascii="Times New Roman" w:hAnsi="Times New Roman"/>
          <w:b/>
          <w:bCs/>
          <w:sz w:val="20"/>
          <w:lang w:val="en-GB"/>
        </w:rPr>
      </w:pPr>
      <w:r w:rsidRPr="00EE086C">
        <w:rPr>
          <w:rFonts w:ascii="Times New Roman" w:hAnsi="Times New Roman"/>
          <w:b/>
          <w:bCs/>
          <w:sz w:val="20"/>
          <w:lang w:val="en-GB"/>
        </w:rPr>
        <w:t xml:space="preserve">Proposal </w:t>
      </w:r>
      <w:r>
        <w:rPr>
          <w:rFonts w:ascii="Times New Roman" w:hAnsi="Times New Roman"/>
          <w:b/>
          <w:bCs/>
          <w:sz w:val="20"/>
          <w:lang w:val="en-GB"/>
        </w:rPr>
        <w:t>3</w:t>
      </w:r>
      <w:r w:rsidRPr="00EE086C">
        <w:rPr>
          <w:rFonts w:ascii="Times New Roman" w:hAnsi="Times New Roman"/>
          <w:b/>
          <w:bCs/>
          <w:sz w:val="20"/>
          <w:lang w:val="en-GB"/>
        </w:rPr>
        <w:t xml:space="preserve">: RAN3 </w:t>
      </w:r>
      <w:r>
        <w:rPr>
          <w:rFonts w:ascii="Times New Roman" w:hAnsi="Times New Roman"/>
          <w:b/>
          <w:bCs/>
          <w:sz w:val="20"/>
          <w:lang w:val="en-GB"/>
        </w:rPr>
        <w:t xml:space="preserve">to propose option 2 for sending RVQoE reports after the threshold is met, periodically as long as the condition holds, based on a gNB configured reporting periodicity and to ask SA4 for confirmation of the feasibility of option 2. </w:t>
      </w:r>
    </w:p>
    <w:p w:rsidR="006D1EA3" w:rsidP="006D1EA3" w:rsidRDefault="006D1EA3" w14:paraId="61C46E34" w14:textId="77777777">
      <w:pPr>
        <w:pStyle w:val="00BodyText"/>
        <w:spacing w:after="0"/>
        <w:rPr>
          <w:rFonts w:ascii="Times New Roman" w:hAnsi="Times New Roman"/>
          <w:b/>
          <w:bCs/>
          <w:sz w:val="20"/>
          <w:lang w:val="en-GB"/>
        </w:rPr>
      </w:pPr>
    </w:p>
    <w:p w:rsidR="006D1EA3" w:rsidP="006D1EA3" w:rsidRDefault="006D1EA3" w14:paraId="47C4A91E" w14:textId="77777777">
      <w:pPr>
        <w:pStyle w:val="00BodyText"/>
        <w:spacing w:after="0"/>
        <w:rPr>
          <w:rFonts w:ascii="Times New Roman" w:hAnsi="Times New Roman"/>
          <w:b/>
          <w:bCs/>
          <w:sz w:val="20"/>
          <w:lang w:val="en-GB"/>
        </w:rPr>
      </w:pPr>
      <w:r w:rsidRPr="00301CB3">
        <w:rPr>
          <w:rFonts w:ascii="Times New Roman" w:hAnsi="Times New Roman"/>
          <w:b/>
          <w:bCs/>
          <w:sz w:val="20"/>
          <w:lang w:val="en-GB"/>
        </w:rPr>
        <w:t xml:space="preserve">Proposal </w:t>
      </w:r>
      <w:r>
        <w:rPr>
          <w:rFonts w:ascii="Times New Roman" w:hAnsi="Times New Roman"/>
          <w:b/>
          <w:bCs/>
          <w:sz w:val="20"/>
          <w:lang w:val="en-GB"/>
        </w:rPr>
        <w:t>4</w:t>
      </w:r>
      <w:r w:rsidRPr="00301CB3">
        <w:rPr>
          <w:rFonts w:ascii="Times New Roman" w:hAnsi="Times New Roman"/>
          <w:b/>
          <w:bCs/>
          <w:sz w:val="20"/>
          <w:lang w:val="en-GB"/>
        </w:rPr>
        <w:t xml:space="preserve">: RAN3 to send LS to SA4 to confirm whether SA4 shall handle the decision of the </w:t>
      </w:r>
      <w:r>
        <w:rPr>
          <w:rFonts w:ascii="Times New Roman" w:hAnsi="Times New Roman"/>
          <w:b/>
          <w:bCs/>
          <w:sz w:val="20"/>
          <w:lang w:val="en-GB"/>
        </w:rPr>
        <w:t xml:space="preserve">start </w:t>
      </w:r>
      <w:r w:rsidRPr="00301CB3">
        <w:rPr>
          <w:rFonts w:ascii="Times New Roman" w:hAnsi="Times New Roman"/>
          <w:b/>
          <w:bCs/>
          <w:sz w:val="20"/>
          <w:lang w:val="en-GB"/>
        </w:rPr>
        <w:t xml:space="preserve">time of threshold-based buffer level </w:t>
      </w:r>
      <w:r>
        <w:rPr>
          <w:rFonts w:ascii="Times New Roman" w:hAnsi="Times New Roman"/>
          <w:b/>
          <w:bCs/>
          <w:sz w:val="20"/>
          <w:lang w:val="en-GB"/>
        </w:rPr>
        <w:t>reporting</w:t>
      </w:r>
      <w:r w:rsidRPr="00301CB3">
        <w:rPr>
          <w:rFonts w:ascii="Times New Roman" w:hAnsi="Times New Roman"/>
          <w:b/>
          <w:bCs/>
          <w:sz w:val="20"/>
          <w:lang w:val="en-GB"/>
        </w:rPr>
        <w:t xml:space="preserve"> and </w:t>
      </w:r>
      <w:r>
        <w:rPr>
          <w:rFonts w:ascii="Times New Roman" w:hAnsi="Times New Roman"/>
          <w:b/>
          <w:bCs/>
          <w:sz w:val="20"/>
          <w:lang w:val="en-GB"/>
        </w:rPr>
        <w:t xml:space="preserve">to discuss </w:t>
      </w:r>
      <w:r w:rsidRPr="00301CB3">
        <w:rPr>
          <w:rFonts w:ascii="Times New Roman" w:hAnsi="Times New Roman"/>
          <w:b/>
          <w:bCs/>
          <w:sz w:val="20"/>
          <w:lang w:val="en-GB"/>
        </w:rPr>
        <w:t>benefit and feasibility of time to trigger</w:t>
      </w:r>
      <w:r>
        <w:rPr>
          <w:rFonts w:ascii="Times New Roman" w:hAnsi="Times New Roman"/>
          <w:b/>
          <w:bCs/>
          <w:sz w:val="20"/>
          <w:lang w:val="en-GB"/>
        </w:rPr>
        <w:t xml:space="preserve"> for threshold-based RVQoE as well as if option 2 is the better option for sending RVQoE reports after the threshold is met</w:t>
      </w:r>
      <w:r w:rsidRPr="00301CB3">
        <w:rPr>
          <w:rFonts w:ascii="Times New Roman" w:hAnsi="Times New Roman"/>
          <w:b/>
          <w:bCs/>
          <w:sz w:val="20"/>
          <w:lang w:val="en-GB"/>
        </w:rPr>
        <w:t>.</w:t>
      </w:r>
    </w:p>
    <w:p w:rsidR="006D1EA3" w:rsidP="006D1EA3" w:rsidRDefault="006D1EA3" w14:paraId="6480FFD2" w14:textId="77777777">
      <w:pPr>
        <w:pStyle w:val="00BodyText"/>
        <w:spacing w:after="0"/>
        <w:rPr>
          <w:rFonts w:ascii="Times New Roman" w:hAnsi="Times New Roman"/>
          <w:b/>
          <w:bCs/>
          <w:sz w:val="20"/>
          <w:lang w:val="en-GB"/>
        </w:rPr>
      </w:pPr>
    </w:p>
    <w:p w:rsidR="006D1EA3" w:rsidP="006D1EA3" w:rsidRDefault="006D1EA3" w14:paraId="1B7A1944" w14:textId="77777777">
      <w:pPr>
        <w:rPr>
          <w:b/>
          <w:bCs/>
        </w:rPr>
      </w:pPr>
      <w:r w:rsidRPr="003E3593">
        <w:rPr>
          <w:b/>
          <w:bCs/>
        </w:rPr>
        <w:t xml:space="preserve">Observation </w:t>
      </w:r>
      <w:r>
        <w:rPr>
          <w:b/>
          <w:bCs/>
        </w:rPr>
        <w:t>3</w:t>
      </w:r>
      <w:r w:rsidRPr="003E3593">
        <w:rPr>
          <w:b/>
          <w:bCs/>
        </w:rPr>
        <w:t xml:space="preserve">: Following the above discussion, if option </w:t>
      </w:r>
      <w:r>
        <w:rPr>
          <w:b/>
          <w:bCs/>
        </w:rPr>
        <w:t>C</w:t>
      </w:r>
      <w:r w:rsidRPr="003E3593">
        <w:rPr>
          <w:b/>
          <w:bCs/>
        </w:rPr>
        <w:t xml:space="preserve"> is chosen, then the deactivation mechanism can </w:t>
      </w:r>
      <w:r>
        <w:rPr>
          <w:b/>
          <w:bCs/>
        </w:rPr>
        <w:t xml:space="preserve">be </w:t>
      </w:r>
      <w:r w:rsidRPr="003E3593">
        <w:rPr>
          <w:b/>
          <w:bCs/>
        </w:rPr>
        <w:t>achieved by utilizing non-UE associated signaling. For instance, by using existing F1 Setup procedure or gNB-DU Configuration Update procedure as explained in [3]. That way, DU has the flexibility to choose the deactivation of RVQoE either for present application sessions or before the session starts.</w:t>
      </w:r>
    </w:p>
    <w:p w:rsidR="006D1EA3" w:rsidP="006D1EA3" w:rsidRDefault="006D1EA3" w14:paraId="3627F6DB" w14:textId="77777777">
      <w:pPr>
        <w:rPr>
          <w:b/>
          <w:bCs/>
        </w:rPr>
      </w:pPr>
      <w:r>
        <w:rPr>
          <w:b/>
          <w:bCs/>
        </w:rPr>
        <w:t>Proposal 5: RAN3 to decide on a mechanism that enables the RVQoE reporting deactivation for all UEs at once.</w:t>
      </w:r>
    </w:p>
    <w:p w:rsidRPr="00EE086C" w:rsidR="006D1EA3" w:rsidP="006D1EA3" w:rsidRDefault="006D1EA3" w14:paraId="36360F65" w14:textId="77777777">
      <w:pPr>
        <w:rPr>
          <w:b/>
          <w:bCs/>
        </w:rPr>
      </w:pPr>
      <w:r>
        <w:rPr>
          <w:b/>
          <w:bCs/>
        </w:rPr>
        <w:t xml:space="preserve">Proposal 6: RAN3 to utilize and enhance existing non-UE associated signaling to indicate RVQoE reporting deactivation information such as F1 SETUP REQUEST and gNB-DU CONFIGURATION UPDATE. </w:t>
      </w:r>
    </w:p>
    <w:p w:rsidRPr="00301CB3" w:rsidR="006D1EA3" w:rsidP="006D1EA3" w:rsidRDefault="006D1EA3" w14:paraId="7C86129A" w14:textId="060FB78C">
      <w:pPr>
        <w:jc w:val="both"/>
      </w:pPr>
      <w:r>
        <w:rPr>
          <w:b/>
          <w:bCs/>
        </w:rPr>
        <w:t>Proposal 7: RAN3 to not consider the DU involvement in the RAN visible QoE configuration at this stage.</w:t>
      </w:r>
    </w:p>
    <w:p w:rsidRPr="006E13D1" w:rsidR="00CD4C7B" w:rsidP="00CD4C7B" w:rsidRDefault="00CD4C7B" w14:paraId="33C07D67" w14:textId="77777777">
      <w:pPr>
        <w:pStyle w:val="Heading1"/>
      </w:pPr>
      <w:r w:rsidRPr="006E13D1">
        <w:t>References</w:t>
      </w:r>
    </w:p>
    <w:p w:rsidR="001C4EE2" w:rsidP="001C4EE2" w:rsidRDefault="001C4EE2" w14:paraId="48379AF9" w14:textId="6FE5FE5A">
      <w:pPr>
        <w:overflowPunct w:val="0"/>
        <w:autoSpaceDE w:val="0"/>
        <w:autoSpaceDN w:val="0"/>
        <w:adjustRightInd w:val="0"/>
        <w:ind w:left="567" w:hanging="567"/>
        <w:textAlignment w:val="baseline"/>
      </w:pPr>
      <w:bookmarkStart w:name="_Ref75086397" w:id="1"/>
      <w:r>
        <w:t>[1]</w:t>
      </w:r>
      <w:r>
        <w:tab/>
      </w:r>
      <w:r>
        <w:tab/>
      </w:r>
      <w:r>
        <w:t>R</w:t>
      </w:r>
      <w:r w:rsidR="000348B9">
        <w:t>2</w:t>
      </w:r>
      <w:r>
        <w:t>-23</w:t>
      </w:r>
      <w:r w:rsidR="0043546E">
        <w:t>02042</w:t>
      </w:r>
      <w:r w:rsidRPr="006E13D1">
        <w:t>,</w:t>
      </w:r>
      <w:r w:rsidR="00B7497D">
        <w:t xml:space="preserve"> </w:t>
      </w:r>
      <w:r w:rsidRPr="00B7497D" w:rsidR="00B7497D">
        <w:rPr>
          <w:i/>
          <w:iCs/>
        </w:rPr>
        <w:t>LS on buffer level threshold-based RVQoE reporting</w:t>
      </w:r>
      <w:r w:rsidR="00B7497D">
        <w:t>, RAN2</w:t>
      </w:r>
    </w:p>
    <w:p w:rsidR="00B2614B" w:rsidP="00B2614B" w:rsidRDefault="00B2614B" w14:paraId="49A813EB" w14:textId="4F7BB978">
      <w:pPr>
        <w:overflowPunct w:val="0"/>
        <w:autoSpaceDE w:val="0"/>
        <w:autoSpaceDN w:val="0"/>
        <w:adjustRightInd w:val="0"/>
        <w:ind w:left="567" w:hanging="567"/>
        <w:textAlignment w:val="baseline"/>
      </w:pPr>
      <w:r>
        <w:t>[</w:t>
      </w:r>
      <w:r w:rsidR="001C4EE2">
        <w:t>2</w:t>
      </w:r>
      <w:r>
        <w:t>]</w:t>
      </w:r>
      <w:r>
        <w:tab/>
      </w:r>
      <w:r>
        <w:tab/>
      </w:r>
      <w:r w:rsidR="000348B9">
        <w:t>S4</w:t>
      </w:r>
      <w:r>
        <w:t>-23</w:t>
      </w:r>
      <w:r w:rsidR="000348B9">
        <w:t>0461</w:t>
      </w:r>
      <w:r w:rsidR="0092033B">
        <w:t>/R2-230</w:t>
      </w:r>
      <w:r w:rsidR="009876B5">
        <w:t>2042</w:t>
      </w:r>
      <w:r w:rsidRPr="006E13D1">
        <w:t xml:space="preserve">, </w:t>
      </w:r>
      <w:r w:rsidRPr="009876B5" w:rsidR="00534D94">
        <w:rPr>
          <w:i/>
          <w:iCs/>
        </w:rPr>
        <w:t>Reply LS on buffer level threshold-based RVQoE reporting</w:t>
      </w:r>
      <w:r w:rsidR="009876B5">
        <w:t>, SA4</w:t>
      </w:r>
    </w:p>
    <w:p w:rsidR="002C65C3" w:rsidP="00B2614B" w:rsidRDefault="002C65C3" w14:paraId="3F30679B" w14:textId="50C431E0">
      <w:pPr>
        <w:overflowPunct w:val="0"/>
        <w:autoSpaceDE w:val="0"/>
        <w:autoSpaceDN w:val="0"/>
        <w:adjustRightInd w:val="0"/>
        <w:ind w:left="567" w:hanging="567"/>
        <w:textAlignment w:val="baseline"/>
      </w:pPr>
      <w:r>
        <w:t xml:space="preserve">[3]       </w:t>
      </w:r>
      <w:r w:rsidR="00124C57">
        <w:t xml:space="preserve">R3-231627, </w:t>
      </w:r>
      <w:r w:rsidRPr="00545838" w:rsidR="00124C57">
        <w:rPr>
          <w:i/>
          <w:iCs/>
        </w:rPr>
        <w:t>(TP for BL CR to TS 38.473) Deactivation of RAN visible QoE information transfer via F1</w:t>
      </w:r>
      <w:r w:rsidR="00124C57">
        <w:t>, Nokia,</w:t>
      </w:r>
      <w:r w:rsidR="00545838">
        <w:t xml:space="preserve"> Nokia Shanghai Bell</w:t>
      </w:r>
    </w:p>
    <w:bookmarkEnd w:id="1"/>
    <w:p w:rsidRPr="006E13D1" w:rsidR="00CD4C7B" w:rsidP="009876B5" w:rsidRDefault="00CD4C7B" w14:paraId="7A97A3CB" w14:textId="1A926B61">
      <w:pPr>
        <w:overflowPunct w:val="0"/>
        <w:autoSpaceDE w:val="0"/>
        <w:autoSpaceDN w:val="0"/>
        <w:adjustRightInd w:val="0"/>
        <w:textAlignment w:val="baseline"/>
      </w:pPr>
    </w:p>
    <w:p w:rsidRPr="00CD4C7B" w:rsidR="00080512" w:rsidP="00CD4C7B" w:rsidRDefault="00080512" w14:paraId="19D7111C" w14:textId="77777777"/>
    <w:sectPr w:rsidRPr="00CD4C7B" w:rsidR="000805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CB4E35" w:rsidRDefault="00CB4E35" w14:paraId="5B6EA2DA" w14:textId="77777777">
      <w:r>
        <w:separator/>
      </w:r>
    </w:p>
  </w:endnote>
  <w:endnote w:type="continuationSeparator" w:id="0">
    <w:p w:rsidR="00CB4E35" w:rsidRDefault="00CB4E35" w14:paraId="12A16460" w14:textId="77777777">
      <w:r>
        <w:continuationSeparator/>
      </w:r>
    </w:p>
  </w:endnote>
  <w:endnote w:type="continuationNotice" w:id="1">
    <w:p w:rsidR="00CB4E35" w:rsidRDefault="00CB4E35" w14:paraId="5CFA4DC7" w14:textId="777777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CB4E35" w:rsidRDefault="00CB4E35" w14:paraId="001E67D8" w14:textId="77777777">
      <w:r>
        <w:separator/>
      </w:r>
    </w:p>
  </w:footnote>
  <w:footnote w:type="continuationSeparator" w:id="0">
    <w:p w:rsidR="00CB4E35" w:rsidRDefault="00CB4E35" w14:paraId="0E22A00A" w14:textId="77777777">
      <w:r>
        <w:continuationSeparator/>
      </w:r>
    </w:p>
  </w:footnote>
  <w:footnote w:type="continuationNotice" w:id="1">
    <w:p w:rsidR="00CB4E35" w:rsidRDefault="00CB4E35" w14:paraId="148865EF" w14:textId="7777777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3A538BB"/>
    <w:multiLevelType w:val="hybridMultilevel"/>
    <w:tmpl w:val="5674251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 w15:restartNumberingAfterBreak="0">
    <w:nsid w:val="2B6506B4"/>
    <w:multiLevelType w:val="hybridMultilevel"/>
    <w:tmpl w:val="3F5ADC80"/>
    <w:lvl w:ilvl="0" w:tplc="526A3720">
      <w:start w:val="1"/>
      <w:numFmt w:val="upp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2CCE28C6"/>
    <w:multiLevelType w:val="hybridMultilevel"/>
    <w:tmpl w:val="B8AC456E"/>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5" w15:restartNumberingAfterBreak="0">
    <w:nsid w:val="30A63FAA"/>
    <w:multiLevelType w:val="hybridMultilevel"/>
    <w:tmpl w:val="C05E5E5C"/>
    <w:lvl w:ilvl="0" w:tplc="6158D756">
      <w:start w:val="1"/>
      <w:numFmt w:val="bullet"/>
      <w:lvlText w:val=""/>
      <w:lvlJc w:val="left"/>
      <w:pPr>
        <w:ind w:left="720" w:hanging="360"/>
      </w:pPr>
      <w:rPr>
        <w:rFonts w:hint="default" w:ascii="Symbol" w:hAnsi="Symbol"/>
      </w:rPr>
    </w:lvl>
    <w:lvl w:ilvl="1" w:tplc="938A932A">
      <w:start w:val="1"/>
      <w:numFmt w:val="bullet"/>
      <w:lvlText w:val="o"/>
      <w:lvlJc w:val="left"/>
      <w:pPr>
        <w:ind w:left="1440" w:hanging="360"/>
      </w:pPr>
      <w:rPr>
        <w:rFonts w:hint="default" w:ascii="Courier New" w:hAnsi="Courier New"/>
      </w:rPr>
    </w:lvl>
    <w:lvl w:ilvl="2" w:tplc="47A4F312">
      <w:start w:val="1"/>
      <w:numFmt w:val="bullet"/>
      <w:lvlText w:val=""/>
      <w:lvlJc w:val="left"/>
      <w:pPr>
        <w:ind w:left="2160" w:hanging="360"/>
      </w:pPr>
      <w:rPr>
        <w:rFonts w:hint="default" w:ascii="Wingdings" w:hAnsi="Wingdings"/>
      </w:rPr>
    </w:lvl>
    <w:lvl w:ilvl="3" w:tplc="BF84DFB2">
      <w:start w:val="1"/>
      <w:numFmt w:val="bullet"/>
      <w:lvlText w:val=""/>
      <w:lvlJc w:val="left"/>
      <w:pPr>
        <w:ind w:left="2880" w:hanging="360"/>
      </w:pPr>
      <w:rPr>
        <w:rFonts w:hint="default" w:ascii="Symbol" w:hAnsi="Symbol"/>
      </w:rPr>
    </w:lvl>
    <w:lvl w:ilvl="4" w:tplc="4288C2C0">
      <w:start w:val="1"/>
      <w:numFmt w:val="bullet"/>
      <w:lvlText w:val="o"/>
      <w:lvlJc w:val="left"/>
      <w:pPr>
        <w:ind w:left="3600" w:hanging="360"/>
      </w:pPr>
      <w:rPr>
        <w:rFonts w:hint="default" w:ascii="Courier New" w:hAnsi="Courier New"/>
      </w:rPr>
    </w:lvl>
    <w:lvl w:ilvl="5" w:tplc="CF023514">
      <w:start w:val="1"/>
      <w:numFmt w:val="bullet"/>
      <w:lvlText w:val=""/>
      <w:lvlJc w:val="left"/>
      <w:pPr>
        <w:ind w:left="4320" w:hanging="360"/>
      </w:pPr>
      <w:rPr>
        <w:rFonts w:hint="default" w:ascii="Wingdings" w:hAnsi="Wingdings"/>
      </w:rPr>
    </w:lvl>
    <w:lvl w:ilvl="6" w:tplc="8EAA8394">
      <w:start w:val="1"/>
      <w:numFmt w:val="bullet"/>
      <w:lvlText w:val=""/>
      <w:lvlJc w:val="left"/>
      <w:pPr>
        <w:ind w:left="5040" w:hanging="360"/>
      </w:pPr>
      <w:rPr>
        <w:rFonts w:hint="default" w:ascii="Symbol" w:hAnsi="Symbol"/>
      </w:rPr>
    </w:lvl>
    <w:lvl w:ilvl="7" w:tplc="34B682A2">
      <w:start w:val="1"/>
      <w:numFmt w:val="bullet"/>
      <w:lvlText w:val="o"/>
      <w:lvlJc w:val="left"/>
      <w:pPr>
        <w:ind w:left="5760" w:hanging="360"/>
      </w:pPr>
      <w:rPr>
        <w:rFonts w:hint="default" w:ascii="Courier New" w:hAnsi="Courier New"/>
      </w:rPr>
    </w:lvl>
    <w:lvl w:ilvl="8" w:tplc="EC3688B4">
      <w:start w:val="1"/>
      <w:numFmt w:val="bullet"/>
      <w:lvlText w:val=""/>
      <w:lvlJc w:val="left"/>
      <w:pPr>
        <w:ind w:left="6480" w:hanging="360"/>
      </w:pPr>
      <w:rPr>
        <w:rFonts w:hint="default" w:ascii="Wingdings" w:hAnsi="Wingdings"/>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367A2746"/>
    <w:multiLevelType w:val="hybridMultilevel"/>
    <w:tmpl w:val="EB0E0088"/>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8" w15:restartNumberingAfterBreak="0">
    <w:nsid w:val="5209E50B"/>
    <w:multiLevelType w:val="hybridMultilevel"/>
    <w:tmpl w:val="3C2CBC08"/>
    <w:lvl w:ilvl="0" w:tplc="2AC63848">
      <w:start w:val="1"/>
      <w:numFmt w:val="bullet"/>
      <w:lvlText w:val=""/>
      <w:lvlJc w:val="left"/>
      <w:pPr>
        <w:ind w:left="720" w:hanging="360"/>
      </w:pPr>
      <w:rPr>
        <w:rFonts w:hint="default" w:ascii="Symbol" w:hAnsi="Symbol"/>
      </w:rPr>
    </w:lvl>
    <w:lvl w:ilvl="1" w:tplc="9BAED6EE">
      <w:start w:val="1"/>
      <w:numFmt w:val="bullet"/>
      <w:lvlText w:val="o"/>
      <w:lvlJc w:val="left"/>
      <w:pPr>
        <w:ind w:left="1440" w:hanging="360"/>
      </w:pPr>
      <w:rPr>
        <w:rFonts w:hint="default" w:ascii="Courier New" w:hAnsi="Courier New"/>
      </w:rPr>
    </w:lvl>
    <w:lvl w:ilvl="2" w:tplc="EA7AE458">
      <w:start w:val="1"/>
      <w:numFmt w:val="bullet"/>
      <w:lvlText w:val=""/>
      <w:lvlJc w:val="left"/>
      <w:pPr>
        <w:ind w:left="2160" w:hanging="360"/>
      </w:pPr>
      <w:rPr>
        <w:rFonts w:hint="default" w:ascii="Wingdings" w:hAnsi="Wingdings"/>
      </w:rPr>
    </w:lvl>
    <w:lvl w:ilvl="3" w:tplc="BFD267A2">
      <w:start w:val="1"/>
      <w:numFmt w:val="bullet"/>
      <w:lvlText w:val=""/>
      <w:lvlJc w:val="left"/>
      <w:pPr>
        <w:ind w:left="2880" w:hanging="360"/>
      </w:pPr>
      <w:rPr>
        <w:rFonts w:hint="default" w:ascii="Symbol" w:hAnsi="Symbol"/>
      </w:rPr>
    </w:lvl>
    <w:lvl w:ilvl="4" w:tplc="3EE40538">
      <w:start w:val="1"/>
      <w:numFmt w:val="bullet"/>
      <w:lvlText w:val="o"/>
      <w:lvlJc w:val="left"/>
      <w:pPr>
        <w:ind w:left="3600" w:hanging="360"/>
      </w:pPr>
      <w:rPr>
        <w:rFonts w:hint="default" w:ascii="Courier New" w:hAnsi="Courier New"/>
      </w:rPr>
    </w:lvl>
    <w:lvl w:ilvl="5" w:tplc="9FA64CD4">
      <w:start w:val="1"/>
      <w:numFmt w:val="bullet"/>
      <w:lvlText w:val=""/>
      <w:lvlJc w:val="left"/>
      <w:pPr>
        <w:ind w:left="4320" w:hanging="360"/>
      </w:pPr>
      <w:rPr>
        <w:rFonts w:hint="default" w:ascii="Wingdings" w:hAnsi="Wingdings"/>
      </w:rPr>
    </w:lvl>
    <w:lvl w:ilvl="6" w:tplc="FA2029B2">
      <w:start w:val="1"/>
      <w:numFmt w:val="bullet"/>
      <w:lvlText w:val=""/>
      <w:lvlJc w:val="left"/>
      <w:pPr>
        <w:ind w:left="5040" w:hanging="360"/>
      </w:pPr>
      <w:rPr>
        <w:rFonts w:hint="default" w:ascii="Symbol" w:hAnsi="Symbol"/>
      </w:rPr>
    </w:lvl>
    <w:lvl w:ilvl="7" w:tplc="0C1025DE">
      <w:start w:val="1"/>
      <w:numFmt w:val="bullet"/>
      <w:lvlText w:val="o"/>
      <w:lvlJc w:val="left"/>
      <w:pPr>
        <w:ind w:left="5760" w:hanging="360"/>
      </w:pPr>
      <w:rPr>
        <w:rFonts w:hint="default" w:ascii="Courier New" w:hAnsi="Courier New"/>
      </w:rPr>
    </w:lvl>
    <w:lvl w:ilvl="8" w:tplc="0C9641E4">
      <w:start w:val="1"/>
      <w:numFmt w:val="bullet"/>
      <w:lvlText w:val=""/>
      <w:lvlJc w:val="left"/>
      <w:pPr>
        <w:ind w:left="6480" w:hanging="360"/>
      </w:pPr>
      <w:rPr>
        <w:rFonts w:hint="default" w:ascii="Wingdings" w:hAnsi="Wingdings"/>
      </w:rPr>
    </w:lvl>
  </w:abstractNum>
  <w:abstractNum w:abstractNumId="9" w15:restartNumberingAfterBreak="0">
    <w:nsid w:val="554332B0"/>
    <w:multiLevelType w:val="hybridMultilevel"/>
    <w:tmpl w:val="972257A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70A37D73"/>
    <w:multiLevelType w:val="hybridMultilevel"/>
    <w:tmpl w:val="0F20BA60"/>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1" w15:restartNumberingAfterBreak="0">
    <w:nsid w:val="76116755"/>
    <w:multiLevelType w:val="hybridMultilevel"/>
    <w:tmpl w:val="1E249714"/>
    <w:lvl w:ilvl="0" w:tplc="89BC8A92">
      <w:start w:val="1"/>
      <w:numFmt w:val="bullet"/>
      <w:lvlText w:val=""/>
      <w:lvlJc w:val="left"/>
      <w:pPr>
        <w:ind w:left="720" w:hanging="360"/>
      </w:pPr>
      <w:rPr>
        <w:rFonts w:hint="default" w:ascii="Symbol" w:hAnsi="Symbol"/>
      </w:rPr>
    </w:lvl>
    <w:lvl w:ilvl="1" w:tplc="62EC7B94">
      <w:start w:val="1"/>
      <w:numFmt w:val="bullet"/>
      <w:lvlText w:val="o"/>
      <w:lvlJc w:val="left"/>
      <w:pPr>
        <w:ind w:left="1440" w:hanging="360"/>
      </w:pPr>
      <w:rPr>
        <w:rFonts w:hint="default" w:ascii="Courier New" w:hAnsi="Courier New"/>
      </w:rPr>
    </w:lvl>
    <w:lvl w:ilvl="2" w:tplc="388A5042">
      <w:start w:val="1"/>
      <w:numFmt w:val="bullet"/>
      <w:lvlText w:val=""/>
      <w:lvlJc w:val="left"/>
      <w:pPr>
        <w:ind w:left="2160" w:hanging="360"/>
      </w:pPr>
      <w:rPr>
        <w:rFonts w:hint="default" w:ascii="Wingdings" w:hAnsi="Wingdings"/>
      </w:rPr>
    </w:lvl>
    <w:lvl w:ilvl="3" w:tplc="49C20AE4">
      <w:start w:val="1"/>
      <w:numFmt w:val="bullet"/>
      <w:lvlText w:val=""/>
      <w:lvlJc w:val="left"/>
      <w:pPr>
        <w:ind w:left="2880" w:hanging="360"/>
      </w:pPr>
      <w:rPr>
        <w:rFonts w:hint="default" w:ascii="Symbol" w:hAnsi="Symbol"/>
      </w:rPr>
    </w:lvl>
    <w:lvl w:ilvl="4" w:tplc="08805FE0">
      <w:start w:val="1"/>
      <w:numFmt w:val="bullet"/>
      <w:lvlText w:val="o"/>
      <w:lvlJc w:val="left"/>
      <w:pPr>
        <w:ind w:left="3600" w:hanging="360"/>
      </w:pPr>
      <w:rPr>
        <w:rFonts w:hint="default" w:ascii="Courier New" w:hAnsi="Courier New"/>
      </w:rPr>
    </w:lvl>
    <w:lvl w:ilvl="5" w:tplc="9A9CCE2C">
      <w:start w:val="1"/>
      <w:numFmt w:val="bullet"/>
      <w:lvlText w:val=""/>
      <w:lvlJc w:val="left"/>
      <w:pPr>
        <w:ind w:left="4320" w:hanging="360"/>
      </w:pPr>
      <w:rPr>
        <w:rFonts w:hint="default" w:ascii="Wingdings" w:hAnsi="Wingdings"/>
      </w:rPr>
    </w:lvl>
    <w:lvl w:ilvl="6" w:tplc="2BB2A20C">
      <w:start w:val="1"/>
      <w:numFmt w:val="bullet"/>
      <w:lvlText w:val=""/>
      <w:lvlJc w:val="left"/>
      <w:pPr>
        <w:ind w:left="5040" w:hanging="360"/>
      </w:pPr>
      <w:rPr>
        <w:rFonts w:hint="default" w:ascii="Symbol" w:hAnsi="Symbol"/>
      </w:rPr>
    </w:lvl>
    <w:lvl w:ilvl="7" w:tplc="2DC668C0">
      <w:start w:val="1"/>
      <w:numFmt w:val="bullet"/>
      <w:lvlText w:val="o"/>
      <w:lvlJc w:val="left"/>
      <w:pPr>
        <w:ind w:left="5760" w:hanging="360"/>
      </w:pPr>
      <w:rPr>
        <w:rFonts w:hint="default" w:ascii="Courier New" w:hAnsi="Courier New"/>
      </w:rPr>
    </w:lvl>
    <w:lvl w:ilvl="8" w:tplc="1E003D7E">
      <w:start w:val="1"/>
      <w:numFmt w:val="bullet"/>
      <w:lvlText w:val=""/>
      <w:lvlJc w:val="left"/>
      <w:pPr>
        <w:ind w:left="6480" w:hanging="360"/>
      </w:pPr>
      <w:rPr>
        <w:rFonts w:hint="default" w:ascii="Wingdings" w:hAnsi="Wingdings"/>
      </w:rPr>
    </w:lvl>
  </w:abstractNum>
  <w:num w:numId="1" w16cid:durableId="1574584333">
    <w:abstractNumId w:val="8"/>
  </w:num>
  <w:num w:numId="2" w16cid:durableId="832991770">
    <w:abstractNumId w:val="11"/>
  </w:num>
  <w:num w:numId="3" w16cid:durableId="1808669749">
    <w:abstractNumId w:val="5"/>
  </w:num>
  <w:num w:numId="4" w16cid:durableId="401022996">
    <w:abstractNumId w:val="0"/>
    <w:lvlOverride w:ilvl="0">
      <w:lvl w:ilvl="0">
        <w:start w:val="1"/>
        <w:numFmt w:val="bullet"/>
        <w:lvlText w:val=""/>
        <w:legacy w:legacy="1" w:legacySpace="0" w:legacyIndent="360"/>
        <w:lvlJc w:val="left"/>
        <w:pPr>
          <w:ind w:left="360" w:hanging="360"/>
        </w:pPr>
        <w:rPr>
          <w:rFonts w:hint="default" w:ascii="Symbol" w:hAnsi="Symbol"/>
        </w:rPr>
      </w:lvl>
    </w:lvlOverride>
  </w:num>
  <w:num w:numId="5" w16cid:durableId="633363786">
    <w:abstractNumId w:val="0"/>
    <w:lvlOverride w:ilvl="0">
      <w:lvl w:ilvl="0">
        <w:start w:val="1"/>
        <w:numFmt w:val="bullet"/>
        <w:lvlText w:val=""/>
        <w:legacy w:legacy="1" w:legacySpace="0" w:legacyIndent="283"/>
        <w:lvlJc w:val="left"/>
        <w:pPr>
          <w:ind w:left="567" w:hanging="283"/>
        </w:pPr>
        <w:rPr>
          <w:rFonts w:hint="default" w:ascii="Symbol" w:hAnsi="Symbol"/>
        </w:rPr>
      </w:lvl>
    </w:lvlOverride>
  </w:num>
  <w:num w:numId="6" w16cid:durableId="1888251867">
    <w:abstractNumId w:val="1"/>
  </w:num>
  <w:num w:numId="7" w16cid:durableId="669141151">
    <w:abstractNumId w:val="6"/>
  </w:num>
  <w:num w:numId="8" w16cid:durableId="1193616957">
    <w:abstractNumId w:val="4"/>
  </w:num>
  <w:num w:numId="9" w16cid:durableId="239146581">
    <w:abstractNumId w:val="10"/>
  </w:num>
  <w:num w:numId="10" w16cid:durableId="1187673476">
    <w:abstractNumId w:val="2"/>
  </w:num>
  <w:num w:numId="11" w16cid:durableId="377553003">
    <w:abstractNumId w:val="7"/>
  </w:num>
  <w:num w:numId="12" w16cid:durableId="1676221933">
    <w:abstractNumId w:val="9"/>
  </w:num>
  <w:num w:numId="13" w16cid:durableId="1842502412">
    <w:abstractNumId w:val="3"/>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9B0"/>
    <w:rsid w:val="000045FA"/>
    <w:rsid w:val="00025F12"/>
    <w:rsid w:val="00033397"/>
    <w:rsid w:val="000342C7"/>
    <w:rsid w:val="000348B9"/>
    <w:rsid w:val="00040095"/>
    <w:rsid w:val="000465AC"/>
    <w:rsid w:val="00047123"/>
    <w:rsid w:val="0005078F"/>
    <w:rsid w:val="0005563E"/>
    <w:rsid w:val="000610BB"/>
    <w:rsid w:val="000804F0"/>
    <w:rsid w:val="00080512"/>
    <w:rsid w:val="000A344C"/>
    <w:rsid w:val="000A51EE"/>
    <w:rsid w:val="000B10B9"/>
    <w:rsid w:val="000B2F60"/>
    <w:rsid w:val="000B7BCF"/>
    <w:rsid w:val="000C556D"/>
    <w:rsid w:val="000D58AB"/>
    <w:rsid w:val="000E1EEF"/>
    <w:rsid w:val="000E4D72"/>
    <w:rsid w:val="000F49D3"/>
    <w:rsid w:val="00102A5C"/>
    <w:rsid w:val="00113F5F"/>
    <w:rsid w:val="00124C57"/>
    <w:rsid w:val="0013077F"/>
    <w:rsid w:val="0013747D"/>
    <w:rsid w:val="001427C1"/>
    <w:rsid w:val="00150F24"/>
    <w:rsid w:val="001537D6"/>
    <w:rsid w:val="001549DD"/>
    <w:rsid w:val="001557EA"/>
    <w:rsid w:val="001607BB"/>
    <w:rsid w:val="00170853"/>
    <w:rsid w:val="00175C7A"/>
    <w:rsid w:val="00185F87"/>
    <w:rsid w:val="00194CD0"/>
    <w:rsid w:val="001A6C1C"/>
    <w:rsid w:val="001B5A2A"/>
    <w:rsid w:val="001C4281"/>
    <w:rsid w:val="001C4D9D"/>
    <w:rsid w:val="001C4EE2"/>
    <w:rsid w:val="001D2814"/>
    <w:rsid w:val="001F004A"/>
    <w:rsid w:val="001F168B"/>
    <w:rsid w:val="00200905"/>
    <w:rsid w:val="002049F8"/>
    <w:rsid w:val="00205CA0"/>
    <w:rsid w:val="00207067"/>
    <w:rsid w:val="0021314D"/>
    <w:rsid w:val="0022606D"/>
    <w:rsid w:val="00226A29"/>
    <w:rsid w:val="00231672"/>
    <w:rsid w:val="00241A86"/>
    <w:rsid w:val="002424FE"/>
    <w:rsid w:val="00243BC7"/>
    <w:rsid w:val="002500A3"/>
    <w:rsid w:val="002747EC"/>
    <w:rsid w:val="002855BF"/>
    <w:rsid w:val="002A433D"/>
    <w:rsid w:val="002A4B75"/>
    <w:rsid w:val="002C0403"/>
    <w:rsid w:val="002C2DBC"/>
    <w:rsid w:val="002C65C3"/>
    <w:rsid w:val="002E0B9F"/>
    <w:rsid w:val="002E1692"/>
    <w:rsid w:val="002E4858"/>
    <w:rsid w:val="002F0D22"/>
    <w:rsid w:val="002F332E"/>
    <w:rsid w:val="002F39A8"/>
    <w:rsid w:val="002F7565"/>
    <w:rsid w:val="00300CF4"/>
    <w:rsid w:val="00301CB3"/>
    <w:rsid w:val="003139CE"/>
    <w:rsid w:val="00316C0B"/>
    <w:rsid w:val="003172DC"/>
    <w:rsid w:val="0032386C"/>
    <w:rsid w:val="00325309"/>
    <w:rsid w:val="00326069"/>
    <w:rsid w:val="00335F86"/>
    <w:rsid w:val="003454FC"/>
    <w:rsid w:val="0035462D"/>
    <w:rsid w:val="00385191"/>
    <w:rsid w:val="00385395"/>
    <w:rsid w:val="00390F5B"/>
    <w:rsid w:val="003A4F20"/>
    <w:rsid w:val="003B3FB3"/>
    <w:rsid w:val="003C2764"/>
    <w:rsid w:val="003C4E37"/>
    <w:rsid w:val="003D0F44"/>
    <w:rsid w:val="003D173D"/>
    <w:rsid w:val="003E16BE"/>
    <w:rsid w:val="003E3593"/>
    <w:rsid w:val="003F5EBD"/>
    <w:rsid w:val="00401855"/>
    <w:rsid w:val="0041755E"/>
    <w:rsid w:val="00425C1E"/>
    <w:rsid w:val="00431552"/>
    <w:rsid w:val="0043546E"/>
    <w:rsid w:val="00450B87"/>
    <w:rsid w:val="00453715"/>
    <w:rsid w:val="00464695"/>
    <w:rsid w:val="00473B42"/>
    <w:rsid w:val="004C09D3"/>
    <w:rsid w:val="004C3812"/>
    <w:rsid w:val="004C79C8"/>
    <w:rsid w:val="004D3578"/>
    <w:rsid w:val="004D380D"/>
    <w:rsid w:val="004D3F58"/>
    <w:rsid w:val="004D5E47"/>
    <w:rsid w:val="004E213A"/>
    <w:rsid w:val="00503171"/>
    <w:rsid w:val="005153FE"/>
    <w:rsid w:val="00517383"/>
    <w:rsid w:val="00522BB2"/>
    <w:rsid w:val="005240A4"/>
    <w:rsid w:val="0052656C"/>
    <w:rsid w:val="00534D94"/>
    <w:rsid w:val="00534DA0"/>
    <w:rsid w:val="00543912"/>
    <w:rsid w:val="00543E6C"/>
    <w:rsid w:val="00544635"/>
    <w:rsid w:val="00545838"/>
    <w:rsid w:val="00553F44"/>
    <w:rsid w:val="005564A7"/>
    <w:rsid w:val="00565087"/>
    <w:rsid w:val="0056573F"/>
    <w:rsid w:val="00571CE2"/>
    <w:rsid w:val="00586A56"/>
    <w:rsid w:val="00596A52"/>
    <w:rsid w:val="005B1232"/>
    <w:rsid w:val="005B28D1"/>
    <w:rsid w:val="005B29DA"/>
    <w:rsid w:val="005D3B05"/>
    <w:rsid w:val="005D4274"/>
    <w:rsid w:val="005E1571"/>
    <w:rsid w:val="005E3CB3"/>
    <w:rsid w:val="005F3F11"/>
    <w:rsid w:val="0060324C"/>
    <w:rsid w:val="00606DA9"/>
    <w:rsid w:val="00607D4D"/>
    <w:rsid w:val="00611566"/>
    <w:rsid w:val="006234F8"/>
    <w:rsid w:val="00626FCE"/>
    <w:rsid w:val="0064056C"/>
    <w:rsid w:val="006415A1"/>
    <w:rsid w:val="00644ED7"/>
    <w:rsid w:val="00655F1B"/>
    <w:rsid w:val="00656E1E"/>
    <w:rsid w:val="006653AF"/>
    <w:rsid w:val="006669BB"/>
    <w:rsid w:val="00684897"/>
    <w:rsid w:val="00685C69"/>
    <w:rsid w:val="006866C4"/>
    <w:rsid w:val="00693598"/>
    <w:rsid w:val="006C54B5"/>
    <w:rsid w:val="006C5F89"/>
    <w:rsid w:val="006D1726"/>
    <w:rsid w:val="006D1E24"/>
    <w:rsid w:val="006D1EA3"/>
    <w:rsid w:val="006E0795"/>
    <w:rsid w:val="006E6BFA"/>
    <w:rsid w:val="006E768A"/>
    <w:rsid w:val="006F7AE5"/>
    <w:rsid w:val="00710CBF"/>
    <w:rsid w:val="00717095"/>
    <w:rsid w:val="00734A5B"/>
    <w:rsid w:val="00744E76"/>
    <w:rsid w:val="007476DB"/>
    <w:rsid w:val="00757D40"/>
    <w:rsid w:val="0076103C"/>
    <w:rsid w:val="00763F05"/>
    <w:rsid w:val="007659C0"/>
    <w:rsid w:val="00771034"/>
    <w:rsid w:val="007719B5"/>
    <w:rsid w:val="00774167"/>
    <w:rsid w:val="007766C4"/>
    <w:rsid w:val="007776D1"/>
    <w:rsid w:val="00781593"/>
    <w:rsid w:val="00781F0F"/>
    <w:rsid w:val="007846A0"/>
    <w:rsid w:val="00784E85"/>
    <w:rsid w:val="0078727C"/>
    <w:rsid w:val="007923B6"/>
    <w:rsid w:val="007923D6"/>
    <w:rsid w:val="00796F6B"/>
    <w:rsid w:val="007A1F59"/>
    <w:rsid w:val="007A2D61"/>
    <w:rsid w:val="007A360C"/>
    <w:rsid w:val="007C095F"/>
    <w:rsid w:val="007C2D79"/>
    <w:rsid w:val="007C4EB1"/>
    <w:rsid w:val="007F02F6"/>
    <w:rsid w:val="007F5B0A"/>
    <w:rsid w:val="008003B1"/>
    <w:rsid w:val="008028A4"/>
    <w:rsid w:val="00803228"/>
    <w:rsid w:val="0080481C"/>
    <w:rsid w:val="00806520"/>
    <w:rsid w:val="00811DF5"/>
    <w:rsid w:val="00831BC3"/>
    <w:rsid w:val="00835C16"/>
    <w:rsid w:val="00837103"/>
    <w:rsid w:val="00840916"/>
    <w:rsid w:val="008604EE"/>
    <w:rsid w:val="00861463"/>
    <w:rsid w:val="00863683"/>
    <w:rsid w:val="008768CA"/>
    <w:rsid w:val="00877880"/>
    <w:rsid w:val="00880559"/>
    <w:rsid w:val="00883C52"/>
    <w:rsid w:val="008901A4"/>
    <w:rsid w:val="00892842"/>
    <w:rsid w:val="0089716E"/>
    <w:rsid w:val="008A4639"/>
    <w:rsid w:val="008A58C1"/>
    <w:rsid w:val="008A683D"/>
    <w:rsid w:val="008B0A52"/>
    <w:rsid w:val="008D059E"/>
    <w:rsid w:val="008F143C"/>
    <w:rsid w:val="00901F21"/>
    <w:rsid w:val="0090271F"/>
    <w:rsid w:val="00903D8C"/>
    <w:rsid w:val="009113D5"/>
    <w:rsid w:val="0092033B"/>
    <w:rsid w:val="00920BF9"/>
    <w:rsid w:val="009220E1"/>
    <w:rsid w:val="00942EC2"/>
    <w:rsid w:val="009435F2"/>
    <w:rsid w:val="00946FD7"/>
    <w:rsid w:val="00953801"/>
    <w:rsid w:val="009547E3"/>
    <w:rsid w:val="00954825"/>
    <w:rsid w:val="0095633A"/>
    <w:rsid w:val="00961B32"/>
    <w:rsid w:val="00971683"/>
    <w:rsid w:val="00972FAB"/>
    <w:rsid w:val="00972FD7"/>
    <w:rsid w:val="00974BB0"/>
    <w:rsid w:val="00985779"/>
    <w:rsid w:val="009857AD"/>
    <w:rsid w:val="009863E2"/>
    <w:rsid w:val="009876B5"/>
    <w:rsid w:val="009A0783"/>
    <w:rsid w:val="009C4D5C"/>
    <w:rsid w:val="009C53DB"/>
    <w:rsid w:val="009C69E5"/>
    <w:rsid w:val="009D0A28"/>
    <w:rsid w:val="009F27BB"/>
    <w:rsid w:val="009F3B54"/>
    <w:rsid w:val="00A01ED4"/>
    <w:rsid w:val="00A10F02"/>
    <w:rsid w:val="00A15328"/>
    <w:rsid w:val="00A15EDA"/>
    <w:rsid w:val="00A170D5"/>
    <w:rsid w:val="00A30F3E"/>
    <w:rsid w:val="00A34092"/>
    <w:rsid w:val="00A358E4"/>
    <w:rsid w:val="00A53724"/>
    <w:rsid w:val="00A538E4"/>
    <w:rsid w:val="00A82346"/>
    <w:rsid w:val="00A8361A"/>
    <w:rsid w:val="00A83B99"/>
    <w:rsid w:val="00A93422"/>
    <w:rsid w:val="00A9671C"/>
    <w:rsid w:val="00AA440F"/>
    <w:rsid w:val="00AA6D5F"/>
    <w:rsid w:val="00AE51EE"/>
    <w:rsid w:val="00AF0079"/>
    <w:rsid w:val="00AF39A0"/>
    <w:rsid w:val="00AF78D5"/>
    <w:rsid w:val="00B014E4"/>
    <w:rsid w:val="00B07ACC"/>
    <w:rsid w:val="00B122B6"/>
    <w:rsid w:val="00B15449"/>
    <w:rsid w:val="00B25476"/>
    <w:rsid w:val="00B2614B"/>
    <w:rsid w:val="00B3491E"/>
    <w:rsid w:val="00B3594A"/>
    <w:rsid w:val="00B46658"/>
    <w:rsid w:val="00B46A95"/>
    <w:rsid w:val="00B529A4"/>
    <w:rsid w:val="00B71924"/>
    <w:rsid w:val="00B7497D"/>
    <w:rsid w:val="00B9781E"/>
    <w:rsid w:val="00BB0505"/>
    <w:rsid w:val="00BB0727"/>
    <w:rsid w:val="00BB272A"/>
    <w:rsid w:val="00BB4415"/>
    <w:rsid w:val="00BC379D"/>
    <w:rsid w:val="00BE16F3"/>
    <w:rsid w:val="00BE3C1A"/>
    <w:rsid w:val="00BF0636"/>
    <w:rsid w:val="00BF79F1"/>
    <w:rsid w:val="00C03035"/>
    <w:rsid w:val="00C27F25"/>
    <w:rsid w:val="00C33079"/>
    <w:rsid w:val="00C410EA"/>
    <w:rsid w:val="00C644AD"/>
    <w:rsid w:val="00C66142"/>
    <w:rsid w:val="00C66B56"/>
    <w:rsid w:val="00C67E53"/>
    <w:rsid w:val="00C730FA"/>
    <w:rsid w:val="00C93EC1"/>
    <w:rsid w:val="00CA3D0C"/>
    <w:rsid w:val="00CA63C7"/>
    <w:rsid w:val="00CB4E35"/>
    <w:rsid w:val="00CB5D24"/>
    <w:rsid w:val="00CB6887"/>
    <w:rsid w:val="00CB712D"/>
    <w:rsid w:val="00CC09E2"/>
    <w:rsid w:val="00CC373D"/>
    <w:rsid w:val="00CC47AA"/>
    <w:rsid w:val="00CD4C7B"/>
    <w:rsid w:val="00CE396C"/>
    <w:rsid w:val="00D14201"/>
    <w:rsid w:val="00D530CA"/>
    <w:rsid w:val="00D6137C"/>
    <w:rsid w:val="00D70737"/>
    <w:rsid w:val="00D738D6"/>
    <w:rsid w:val="00D8013B"/>
    <w:rsid w:val="00D80795"/>
    <w:rsid w:val="00D87E00"/>
    <w:rsid w:val="00D9134D"/>
    <w:rsid w:val="00D9267F"/>
    <w:rsid w:val="00D94E7D"/>
    <w:rsid w:val="00DA7A03"/>
    <w:rsid w:val="00DB1818"/>
    <w:rsid w:val="00DB4BAE"/>
    <w:rsid w:val="00DB6207"/>
    <w:rsid w:val="00DC309B"/>
    <w:rsid w:val="00DC4DA2"/>
    <w:rsid w:val="00DD2D99"/>
    <w:rsid w:val="00DE0C24"/>
    <w:rsid w:val="00DF26DC"/>
    <w:rsid w:val="00E02A94"/>
    <w:rsid w:val="00E04211"/>
    <w:rsid w:val="00E045AB"/>
    <w:rsid w:val="00E07838"/>
    <w:rsid w:val="00E12F14"/>
    <w:rsid w:val="00E16DD0"/>
    <w:rsid w:val="00E2347F"/>
    <w:rsid w:val="00E263D4"/>
    <w:rsid w:val="00E27FA9"/>
    <w:rsid w:val="00E32AB8"/>
    <w:rsid w:val="00E33299"/>
    <w:rsid w:val="00E51BF4"/>
    <w:rsid w:val="00E57880"/>
    <w:rsid w:val="00E62835"/>
    <w:rsid w:val="00E74D11"/>
    <w:rsid w:val="00E77645"/>
    <w:rsid w:val="00E801FA"/>
    <w:rsid w:val="00E852FF"/>
    <w:rsid w:val="00EA22F8"/>
    <w:rsid w:val="00EA3905"/>
    <w:rsid w:val="00EA3DD7"/>
    <w:rsid w:val="00EC2C94"/>
    <w:rsid w:val="00EC4A25"/>
    <w:rsid w:val="00EE086C"/>
    <w:rsid w:val="00EF201F"/>
    <w:rsid w:val="00EF32BB"/>
    <w:rsid w:val="00F006BA"/>
    <w:rsid w:val="00F025A2"/>
    <w:rsid w:val="00F125DC"/>
    <w:rsid w:val="00F13016"/>
    <w:rsid w:val="00F2026E"/>
    <w:rsid w:val="00F2210A"/>
    <w:rsid w:val="00F37743"/>
    <w:rsid w:val="00F423EA"/>
    <w:rsid w:val="00F4499B"/>
    <w:rsid w:val="00F467AF"/>
    <w:rsid w:val="00F4723F"/>
    <w:rsid w:val="00F5133E"/>
    <w:rsid w:val="00F54A3D"/>
    <w:rsid w:val="00F54FDC"/>
    <w:rsid w:val="00F653B8"/>
    <w:rsid w:val="00F71D26"/>
    <w:rsid w:val="00F743AE"/>
    <w:rsid w:val="00F76F8F"/>
    <w:rsid w:val="00F82374"/>
    <w:rsid w:val="00F8361E"/>
    <w:rsid w:val="00F9248D"/>
    <w:rsid w:val="00F940F2"/>
    <w:rsid w:val="00F97A28"/>
    <w:rsid w:val="00FA1266"/>
    <w:rsid w:val="00FA3493"/>
    <w:rsid w:val="00FA512C"/>
    <w:rsid w:val="00FB00B2"/>
    <w:rsid w:val="00FB2BEA"/>
    <w:rsid w:val="00FB2F48"/>
    <w:rsid w:val="00FB50D7"/>
    <w:rsid w:val="00FC1192"/>
    <w:rsid w:val="00FC7B34"/>
    <w:rsid w:val="00FE38CB"/>
    <w:rsid w:val="00FE4E79"/>
    <w:rsid w:val="00FF20D0"/>
    <w:rsid w:val="00FF42CB"/>
    <w:rsid w:val="034C54D8"/>
    <w:rsid w:val="0733F08E"/>
    <w:rsid w:val="094E5EC3"/>
    <w:rsid w:val="16A206EA"/>
    <w:rsid w:val="1929ACB8"/>
    <w:rsid w:val="21E4B991"/>
    <w:rsid w:val="2C7F5ECA"/>
    <w:rsid w:val="4F8B651A"/>
    <w:rsid w:val="60C2CAA9"/>
    <w:rsid w:val="6F23F5B5"/>
    <w:rsid w:val="7B5A6B4F"/>
    <w:rsid w:val="7D87F8A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ED7247F"/>
  <w15:chartTrackingRefBased/>
  <w15:docId w15:val="{7C7A3FE8-51A4-40FA-9B35-8424FD631A59}"/>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imes New Roman" w:hAnsi="Times New Roman" w:eastAsia="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pPr>
      <w:spacing w:after="180"/>
    </w:pPr>
    <w:rPr>
      <w:lang w:val="en-GB"/>
    </w:rPr>
  </w:style>
  <w:style w:type="paragraph" w:styleId="Heading1">
    <w:name w:val="heading 1"/>
    <w:next w:val="Normal"/>
    <w:qFormat/>
    <w:pPr>
      <w:keepNext/>
      <w:keepLines/>
      <w:pBdr>
        <w:top w:val="single" w:color="auto" w:sz="12" w:space="3"/>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color="auto" w:sz="0" w:space="0"/>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6" w:customStyle="1">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styleId="EQ" w:customStyle="1">
    <w:name w:val="EQ"/>
    <w:basedOn w:val="Normal"/>
    <w:next w:val="Normal"/>
    <w:pPr>
      <w:keepLines/>
      <w:tabs>
        <w:tab w:val="center" w:pos="4536"/>
        <w:tab w:val="right" w:pos="9072"/>
      </w:tabs>
    </w:pPr>
    <w:rPr>
      <w:noProof/>
    </w:rPr>
  </w:style>
  <w:style w:type="character" w:styleId="ZGSM" w:customStyle="1">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styleId="ZD" w:customStyle="1">
    <w:name w:val="ZD"/>
    <w:pPr>
      <w:framePr w:wrap="notBeside" w:hAnchor="margin" w:vAnchor="page"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styleId="TT" w:customStyle="1">
    <w:name w:val="TT"/>
    <w:basedOn w:val="Heading1"/>
    <w:next w:val="Normal"/>
    <w:pPr>
      <w:outlineLvl w:val="9"/>
    </w:pPr>
  </w:style>
  <w:style w:type="paragraph" w:styleId="NF" w:customStyle="1">
    <w:name w:val="NF"/>
    <w:basedOn w:val="NO"/>
    <w:pPr>
      <w:keepNext/>
      <w:spacing w:after="0"/>
    </w:pPr>
    <w:rPr>
      <w:rFonts w:ascii="Arial" w:hAnsi="Arial"/>
      <w:sz w:val="18"/>
    </w:rPr>
  </w:style>
  <w:style w:type="paragraph" w:styleId="NO" w:customStyle="1">
    <w:name w:val="NO"/>
    <w:basedOn w:val="Normal"/>
    <w:link w:val="NOZchn"/>
    <w:qFormat/>
    <w:pPr>
      <w:keepLines/>
      <w:ind w:left="1135" w:hanging="851"/>
    </w:pPr>
  </w:style>
  <w:style w:type="paragraph" w:styleId="PL" w:customStyle="1">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styleId="TAR" w:customStyle="1">
    <w:name w:val="TAR"/>
    <w:basedOn w:val="TAL"/>
    <w:pPr>
      <w:jc w:val="right"/>
    </w:pPr>
  </w:style>
  <w:style w:type="paragraph" w:styleId="TAL" w:customStyle="1">
    <w:name w:val="TAL"/>
    <w:basedOn w:val="Normal"/>
    <w:pPr>
      <w:keepNext/>
      <w:keepLines/>
      <w:spacing w:after="0"/>
    </w:pPr>
    <w:rPr>
      <w:rFonts w:ascii="Arial" w:hAnsi="Arial"/>
      <w:sz w:val="18"/>
    </w:rPr>
  </w:style>
  <w:style w:type="paragraph" w:styleId="TAH" w:customStyle="1">
    <w:name w:val="TAH"/>
    <w:basedOn w:val="TAC"/>
    <w:rPr>
      <w:b/>
    </w:rPr>
  </w:style>
  <w:style w:type="paragraph" w:styleId="TAC" w:customStyle="1">
    <w:name w:val="TAC"/>
    <w:basedOn w:val="TAL"/>
    <w:pPr>
      <w:jc w:val="center"/>
    </w:pPr>
  </w:style>
  <w:style w:type="paragraph" w:styleId="LD" w:customStyle="1">
    <w:name w:val="LD"/>
    <w:pPr>
      <w:keepNext/>
      <w:keepLines/>
      <w:spacing w:line="180" w:lineRule="exact"/>
    </w:pPr>
    <w:rPr>
      <w:rFonts w:ascii="Courier New" w:hAnsi="Courier New"/>
      <w:noProof/>
      <w:lang w:val="en-GB"/>
    </w:rPr>
  </w:style>
  <w:style w:type="paragraph" w:styleId="EX" w:customStyle="1">
    <w:name w:val="EX"/>
    <w:basedOn w:val="Normal"/>
    <w:pPr>
      <w:keepLines/>
      <w:ind w:left="1702" w:hanging="1418"/>
    </w:pPr>
  </w:style>
  <w:style w:type="paragraph" w:styleId="FP" w:customStyle="1">
    <w:name w:val="FP"/>
    <w:basedOn w:val="Normal"/>
    <w:pPr>
      <w:spacing w:after="0"/>
    </w:pPr>
  </w:style>
  <w:style w:type="paragraph" w:styleId="NW" w:customStyle="1">
    <w:name w:val="NW"/>
    <w:basedOn w:val="NO"/>
    <w:pPr>
      <w:spacing w:after="0"/>
    </w:pPr>
  </w:style>
  <w:style w:type="paragraph" w:styleId="EW" w:customStyle="1">
    <w:name w:val="EW"/>
    <w:basedOn w:val="EX"/>
    <w:pPr>
      <w:spacing w:after="0"/>
    </w:pPr>
  </w:style>
  <w:style w:type="paragraph" w:styleId="B1" w:customStyle="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EditorsNote" w:customStyle="1">
    <w:name w:val="Editor's Note"/>
    <w:basedOn w:val="NO"/>
    <w:rPr>
      <w:color w:val="FF0000"/>
    </w:rPr>
  </w:style>
  <w:style w:type="paragraph" w:styleId="TH" w:customStyle="1">
    <w:name w:val="TH"/>
    <w:basedOn w:val="Normal"/>
    <w:pPr>
      <w:keepNext/>
      <w:keepLines/>
      <w:spacing w:before="60"/>
      <w:jc w:val="center"/>
    </w:pPr>
    <w:rPr>
      <w:rFonts w:ascii="Arial" w:hAnsi="Arial"/>
      <w:b/>
    </w:rPr>
  </w:style>
  <w:style w:type="paragraph" w:styleId="ZA" w:customStyle="1">
    <w:name w:val="ZA"/>
    <w:pPr>
      <w:framePr w:w="10206" w:h="794" w:wrap="notBeside" w:hAnchor="margin" w:vAnchor="page" w:y="1135" w:hRule="exact"/>
      <w:widowControl w:val="0"/>
      <w:pBdr>
        <w:bottom w:val="single" w:color="auto" w:sz="12" w:space="1"/>
      </w:pBdr>
      <w:jc w:val="right"/>
    </w:pPr>
    <w:rPr>
      <w:rFonts w:ascii="Arial" w:hAnsi="Arial"/>
      <w:noProof/>
      <w:sz w:val="40"/>
      <w:lang w:val="en-GB"/>
    </w:rPr>
  </w:style>
  <w:style w:type="paragraph" w:styleId="ZB" w:customStyle="1">
    <w:name w:val="ZB"/>
    <w:pPr>
      <w:framePr w:w="10206" w:h="284" w:wrap="notBeside" w:hAnchor="margin" w:vAnchor="page" w:y="1986" w:hRule="exact"/>
      <w:widowControl w:val="0"/>
      <w:ind w:right="28"/>
      <w:jc w:val="right"/>
    </w:pPr>
    <w:rPr>
      <w:rFonts w:ascii="Arial" w:hAnsi="Arial"/>
      <w:i/>
      <w:noProof/>
      <w:lang w:val="en-GB"/>
    </w:rPr>
  </w:style>
  <w:style w:type="paragraph" w:styleId="ZT" w:customStyle="1">
    <w:name w:val="ZT"/>
    <w:pPr>
      <w:framePr w:wrap="notBeside" w:hAnchor="margin" w:yAlign="center"/>
      <w:widowControl w:val="0"/>
      <w:spacing w:line="240" w:lineRule="atLeast"/>
      <w:jc w:val="right"/>
    </w:pPr>
    <w:rPr>
      <w:rFonts w:ascii="Arial" w:hAnsi="Arial"/>
      <w:b/>
      <w:sz w:val="34"/>
      <w:lang w:val="en-GB"/>
    </w:rPr>
  </w:style>
  <w:style w:type="paragraph" w:styleId="ZU" w:customStyle="1">
    <w:name w:val="ZU"/>
    <w:pPr>
      <w:framePr w:w="10206" w:wrap="notBeside" w:hAnchor="margin" w:vAnchor="page" w:y="6238"/>
      <w:widowControl w:val="0"/>
      <w:pBdr>
        <w:top w:val="single" w:color="auto" w:sz="12" w:space="1"/>
      </w:pBdr>
      <w:jc w:val="right"/>
    </w:pPr>
    <w:rPr>
      <w:rFonts w:ascii="Arial" w:hAnsi="Arial"/>
      <w:noProof/>
      <w:lang w:val="en-GB"/>
    </w:rPr>
  </w:style>
  <w:style w:type="paragraph" w:styleId="TAN" w:customStyle="1">
    <w:name w:val="TAN"/>
    <w:basedOn w:val="TAL"/>
    <w:pPr>
      <w:ind w:left="851" w:hanging="851"/>
    </w:pPr>
  </w:style>
  <w:style w:type="paragraph" w:styleId="ZH" w:customStyle="1">
    <w:name w:val="ZH"/>
    <w:pPr>
      <w:framePr w:wrap="notBeside" w:hAnchor="margin" w:vAnchor="page" w:xAlign="center" w:y="6805"/>
      <w:widowControl w:val="0"/>
    </w:pPr>
    <w:rPr>
      <w:rFonts w:ascii="Arial" w:hAnsi="Arial"/>
      <w:noProof/>
      <w:lang w:val="en-GB"/>
    </w:rPr>
  </w:style>
  <w:style w:type="paragraph" w:styleId="TF" w:customStyle="1">
    <w:name w:val="TF"/>
    <w:basedOn w:val="TH"/>
    <w:pPr>
      <w:keepNext w:val="0"/>
      <w:spacing w:before="0" w:after="240"/>
    </w:pPr>
  </w:style>
  <w:style w:type="paragraph" w:styleId="ZG" w:customStyle="1">
    <w:name w:val="ZG"/>
    <w:pPr>
      <w:framePr w:wrap="notBeside" w:hAnchor="margin" w:vAnchor="page" w:xAlign="right" w:y="6805"/>
      <w:widowControl w:val="0"/>
      <w:jc w:val="right"/>
    </w:pPr>
    <w:rPr>
      <w:rFonts w:ascii="Arial" w:hAnsi="Arial"/>
      <w:noProof/>
      <w:lang w:val="en-GB"/>
    </w:rPr>
  </w:style>
  <w:style w:type="paragraph" w:styleId="B2" w:customStyle="1">
    <w:name w:val="B2"/>
    <w:basedOn w:val="Normal"/>
    <w:pPr>
      <w:ind w:left="851" w:hanging="284"/>
    </w:pPr>
  </w:style>
  <w:style w:type="paragraph" w:styleId="B3" w:customStyle="1">
    <w:name w:val="B3"/>
    <w:basedOn w:val="Normal"/>
    <w:pPr>
      <w:ind w:left="1135" w:hanging="284"/>
    </w:pPr>
  </w:style>
  <w:style w:type="paragraph" w:styleId="B4" w:customStyle="1">
    <w:name w:val="B4"/>
    <w:basedOn w:val="Normal"/>
    <w:pPr>
      <w:ind w:left="1418" w:hanging="284"/>
    </w:pPr>
  </w:style>
  <w:style w:type="paragraph" w:styleId="B5" w:customStyle="1">
    <w:name w:val="B5"/>
    <w:basedOn w:val="Normal"/>
    <w:pPr>
      <w:ind w:left="1702" w:hanging="284"/>
    </w:pPr>
  </w:style>
  <w:style w:type="paragraph" w:styleId="ZTD" w:customStyle="1">
    <w:name w:val="ZTD"/>
    <w:basedOn w:val="ZB"/>
    <w:pPr>
      <w:framePr w:wrap="notBeside" w:y="852" w:hRule="auto"/>
    </w:pPr>
    <w:rPr>
      <w:i w:val="0"/>
      <w:sz w:val="40"/>
    </w:rPr>
  </w:style>
  <w:style w:type="paragraph" w:styleId="ZV" w:customStyle="1">
    <w:name w:val="ZV"/>
    <w:basedOn w:val="ZU"/>
    <w:pPr>
      <w:framePr w:wrap="notBeside" w:y="16161"/>
    </w:pPr>
  </w:style>
  <w:style w:type="paragraph" w:styleId="TAJ" w:customStyle="1">
    <w:name w:val="TAJ"/>
    <w:basedOn w:val="TH"/>
  </w:style>
  <w:style w:type="paragraph" w:styleId="Guidance" w:customStyle="1">
    <w:name w:val="Guidance"/>
    <w:basedOn w:val="Normal"/>
    <w:rPr>
      <w:i/>
      <w:color w:val="0000FF"/>
    </w:rPr>
  </w:style>
  <w:style w:type="character" w:styleId="HeaderChar" w:customStyle="1">
    <w:name w:val="Header Char"/>
    <w:aliases w:val="header odd Char"/>
    <w:link w:val="Header"/>
    <w:rsid w:val="00CD4C7B"/>
    <w:rPr>
      <w:rFonts w:ascii="Arial" w:hAnsi="Arial"/>
      <w:b/>
      <w:noProof/>
      <w:sz w:val="18"/>
      <w:lang w:val="en-GB" w:eastAsia="ja-JP" w:bidi="ar-SA"/>
    </w:rPr>
  </w:style>
  <w:style w:type="paragraph" w:styleId="CRCoverPage" w:customStyle="1">
    <w:name w:val="CR Cover Page"/>
    <w:rsid w:val="00CD4C7B"/>
    <w:pPr>
      <w:spacing w:after="120"/>
    </w:pPr>
    <w:rPr>
      <w:rFonts w:ascii="Arial" w:hAnsi="Arial" w:eastAsia="MS Mincho"/>
      <w:lang w:val="en-GB"/>
    </w:rPr>
  </w:style>
  <w:style w:type="paragraph" w:styleId="00BodyText" w:customStyle="1">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styleId="DocumentMapChar" w:customStyle="1">
    <w:name w:val="Document Map Char"/>
    <w:link w:val="DocumentMap"/>
    <w:rsid w:val="007476DB"/>
    <w:rPr>
      <w:rFonts w:ascii="Tahoma" w:hAnsi="Tahoma" w:cs="Tahoma"/>
      <w:sz w:val="16"/>
      <w:szCs w:val="16"/>
      <w:lang w:val="en-GB"/>
    </w:rPr>
  </w:style>
  <w:style w:type="character" w:styleId="NOZchn" w:customStyle="1">
    <w:name w:val="NO Zchn"/>
    <w:link w:val="NO"/>
    <w:rsid w:val="00113F5F"/>
    <w:rPr>
      <w:lang w:val="en-GB"/>
    </w:rPr>
  </w:style>
  <w:style w:type="character" w:styleId="B1Zchn" w:customStyle="1">
    <w:name w:val="B1 Zchn"/>
    <w:link w:val="B1"/>
    <w:qFormat/>
    <w:rsid w:val="00113F5F"/>
    <w:rPr>
      <w:lang w:val="en-GB"/>
    </w:rPr>
  </w:style>
  <w:style w:type="character" w:styleId="B1Char1" w:customStyle="1">
    <w:name w:val="B1 Char1"/>
    <w:qFormat/>
    <w:rsid w:val="00E263D4"/>
    <w:rPr>
      <w:lang w:val="en-GB" w:eastAsia="en-US" w:bidi="ar-SA"/>
    </w:rPr>
  </w:style>
  <w:style w:type="paragraph" w:styleId="Revision">
    <w:name w:val="Revision"/>
    <w:hidden/>
    <w:uiPriority w:val="99"/>
    <w:semiHidden/>
    <w:rsid w:val="00E263D4"/>
    <w:rPr>
      <w:lang w:val="en-GB"/>
    </w:rPr>
  </w:style>
  <w:style w:type="character" w:styleId="CommentReference">
    <w:name w:val="annotation reference"/>
    <w:basedOn w:val="DefaultParagraphFont"/>
    <w:rsid w:val="00205CA0"/>
    <w:rPr>
      <w:sz w:val="16"/>
      <w:szCs w:val="16"/>
    </w:rPr>
  </w:style>
  <w:style w:type="paragraph" w:styleId="CommentText">
    <w:name w:val="annotation text"/>
    <w:basedOn w:val="Normal"/>
    <w:link w:val="CommentTextChar"/>
    <w:rsid w:val="00205CA0"/>
  </w:style>
  <w:style w:type="character" w:styleId="CommentTextChar" w:customStyle="1">
    <w:name w:val="Comment Text Char"/>
    <w:basedOn w:val="DefaultParagraphFont"/>
    <w:link w:val="CommentText"/>
    <w:rsid w:val="00205CA0"/>
    <w:rPr>
      <w:lang w:val="en-GB"/>
    </w:rPr>
  </w:style>
  <w:style w:type="paragraph" w:styleId="CommentSubject">
    <w:name w:val="annotation subject"/>
    <w:basedOn w:val="CommentText"/>
    <w:next w:val="CommentText"/>
    <w:link w:val="CommentSubjectChar"/>
    <w:rsid w:val="00205CA0"/>
    <w:rPr>
      <w:b/>
      <w:bCs/>
    </w:rPr>
  </w:style>
  <w:style w:type="character" w:styleId="CommentSubjectChar" w:customStyle="1">
    <w:name w:val="Comment Subject Char"/>
    <w:basedOn w:val="CommentTextChar"/>
    <w:link w:val="CommentSubject"/>
    <w:rsid w:val="00205CA0"/>
    <w:rPr>
      <w:b/>
      <w:bCs/>
      <w:lang w:val="en-GB"/>
    </w:rPr>
  </w:style>
  <w:style w:type="table" w:styleId="TableGrid">
    <w:name w:val="Table Grid"/>
    <w:basedOn w:val="TableNormal"/>
    <w:uiPriority w:val="59"/>
    <w:rsid w:val="00FB4123"/>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paragraph" w:styleId="Char5CharCharCharCharCharCharChar" w:customStyle="1">
    <w:name w:val="Char5 Char Char Char Char Char Char Char"/>
    <w:basedOn w:val="Normal"/>
    <w:semiHidden/>
    <w:rsid w:val="008A4639"/>
    <w:pPr>
      <w:spacing w:after="160" w:line="240" w:lineRule="exact"/>
    </w:pPr>
    <w:rPr>
      <w:rFonts w:ascii="Arial" w:hAnsi="Arial" w:eastAsia="SimSun" w:cs="Arial"/>
      <w:color w:val="0000FF"/>
      <w:kern w:val="2"/>
      <w:sz w:val="22"/>
      <w:szCs w:val="24"/>
      <w:lang w:val="en-US" w:eastAsia="zh-CN"/>
    </w:rPr>
  </w:style>
  <w:style w:type="paragraph" w:styleId="ListParagraph">
    <w:name w:val="List Paragraph"/>
    <w:basedOn w:val="Normal"/>
    <w:uiPriority w:val="34"/>
    <w:qFormat/>
    <w:rsid w:val="00FE4E79"/>
    <w:pPr>
      <w:ind w:left="720"/>
      <w:contextualSpacing/>
    </w:pPr>
  </w:style>
  <w:style w:type="paragraph" w:styleId="listparagraph3" w:customStyle="1">
    <w:name w:val="listparagraph3"/>
    <w:basedOn w:val="Normal"/>
    <w:semiHidden/>
    <w:rsid w:val="00FE4E79"/>
    <w:pPr>
      <w:overflowPunct w:val="0"/>
      <w:autoSpaceDE w:val="0"/>
      <w:autoSpaceDN w:val="0"/>
      <w:adjustRightInd w:val="0"/>
      <w:spacing w:before="100" w:beforeAutospacing="1" w:after="100" w:afterAutospacing="1"/>
      <w:textAlignment w:val="baseline"/>
    </w:pPr>
    <w:rPr>
      <w:rFonts w:ascii="Calibri" w:hAnsi="Calibri" w:eastAsia="SimSun" w:cs="Calibri"/>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8239202">
      <w:bodyDiv w:val="1"/>
      <w:marLeft w:val="0"/>
      <w:marRight w:val="0"/>
      <w:marTop w:val="0"/>
      <w:marBottom w:val="0"/>
      <w:divBdr>
        <w:top w:val="none" w:sz="0" w:space="0" w:color="auto"/>
        <w:left w:val="none" w:sz="0" w:space="0" w:color="auto"/>
        <w:bottom w:val="none" w:sz="0" w:space="0" w:color="auto"/>
        <w:right w:val="none" w:sz="0" w:space="0" w:color="auto"/>
      </w:divBdr>
    </w:div>
    <w:div w:id="387919739">
      <w:bodyDiv w:val="1"/>
      <w:marLeft w:val="0"/>
      <w:marRight w:val="0"/>
      <w:marTop w:val="0"/>
      <w:marBottom w:val="0"/>
      <w:divBdr>
        <w:top w:val="none" w:sz="0" w:space="0" w:color="auto"/>
        <w:left w:val="none" w:sz="0" w:space="0" w:color="auto"/>
        <w:bottom w:val="none" w:sz="0" w:space="0" w:color="auto"/>
        <w:right w:val="none" w:sz="0" w:space="0" w:color="auto"/>
      </w:divBdr>
    </w:div>
    <w:div w:id="424696481">
      <w:bodyDiv w:val="1"/>
      <w:marLeft w:val="0"/>
      <w:marRight w:val="0"/>
      <w:marTop w:val="0"/>
      <w:marBottom w:val="0"/>
      <w:divBdr>
        <w:top w:val="none" w:sz="0" w:space="0" w:color="auto"/>
        <w:left w:val="none" w:sz="0" w:space="0" w:color="auto"/>
        <w:bottom w:val="none" w:sz="0" w:space="0" w:color="auto"/>
        <w:right w:val="none" w:sz="0" w:space="0" w:color="auto"/>
      </w:divBdr>
    </w:div>
    <w:div w:id="528763398">
      <w:bodyDiv w:val="1"/>
      <w:marLeft w:val="0"/>
      <w:marRight w:val="0"/>
      <w:marTop w:val="0"/>
      <w:marBottom w:val="0"/>
      <w:divBdr>
        <w:top w:val="none" w:sz="0" w:space="0" w:color="auto"/>
        <w:left w:val="none" w:sz="0" w:space="0" w:color="auto"/>
        <w:bottom w:val="none" w:sz="0" w:space="0" w:color="auto"/>
        <w:right w:val="none" w:sz="0" w:space="0" w:color="auto"/>
      </w:divBdr>
    </w:div>
    <w:div w:id="639849711">
      <w:bodyDiv w:val="1"/>
      <w:marLeft w:val="0"/>
      <w:marRight w:val="0"/>
      <w:marTop w:val="0"/>
      <w:marBottom w:val="0"/>
      <w:divBdr>
        <w:top w:val="none" w:sz="0" w:space="0" w:color="auto"/>
        <w:left w:val="none" w:sz="0" w:space="0" w:color="auto"/>
        <w:bottom w:val="none" w:sz="0" w:space="0" w:color="auto"/>
        <w:right w:val="none" w:sz="0" w:space="0" w:color="auto"/>
      </w:divBdr>
    </w:div>
    <w:div w:id="833451663">
      <w:bodyDiv w:val="1"/>
      <w:marLeft w:val="0"/>
      <w:marRight w:val="0"/>
      <w:marTop w:val="0"/>
      <w:marBottom w:val="0"/>
      <w:divBdr>
        <w:top w:val="none" w:sz="0" w:space="0" w:color="auto"/>
        <w:left w:val="none" w:sz="0" w:space="0" w:color="auto"/>
        <w:bottom w:val="none" w:sz="0" w:space="0" w:color="auto"/>
        <w:right w:val="none" w:sz="0" w:space="0" w:color="auto"/>
      </w:divBdr>
    </w:div>
    <w:div w:id="1079131840">
      <w:bodyDiv w:val="1"/>
      <w:marLeft w:val="0"/>
      <w:marRight w:val="0"/>
      <w:marTop w:val="0"/>
      <w:marBottom w:val="0"/>
      <w:divBdr>
        <w:top w:val="none" w:sz="0" w:space="0" w:color="auto"/>
        <w:left w:val="none" w:sz="0" w:space="0" w:color="auto"/>
        <w:bottom w:val="none" w:sz="0" w:space="0" w:color="auto"/>
        <w:right w:val="none" w:sz="0" w:space="0" w:color="auto"/>
      </w:divBdr>
    </w:div>
    <w:div w:id="1214269693">
      <w:bodyDiv w:val="1"/>
      <w:marLeft w:val="0"/>
      <w:marRight w:val="0"/>
      <w:marTop w:val="0"/>
      <w:marBottom w:val="0"/>
      <w:divBdr>
        <w:top w:val="none" w:sz="0" w:space="0" w:color="auto"/>
        <w:left w:val="none" w:sz="0" w:space="0" w:color="auto"/>
        <w:bottom w:val="none" w:sz="0" w:space="0" w:color="auto"/>
        <w:right w:val="none" w:sz="0" w:space="0" w:color="auto"/>
      </w:divBdr>
    </w:div>
    <w:div w:id="1642735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openxmlformats.org/officeDocument/2006/relationships/theme" Target="theme/theme1.xml" Id="rId13" /><Relationship Type="http://schemas.openxmlformats.org/officeDocument/2006/relationships/customXml" Target="../customXml/item3.xml" Id="rId3" /><Relationship Type="http://schemas.openxmlformats.org/officeDocument/2006/relationships/styles" Target="style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customXml" Target="../customXml/item5.xml" Id="rId5" /><Relationship Type="http://schemas.openxmlformats.org/officeDocument/2006/relationships/footnotes" Target="footnotes.xml" Id="rId10" /><Relationship Type="http://schemas.openxmlformats.org/officeDocument/2006/relationships/customXml" Target="../customXml/item4.xml" Id="rId4" /><Relationship Type="http://schemas.openxmlformats.org/officeDocument/2006/relationships/webSettings" Target="webSettings.xml" Id="rId9" /></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5AIRPNAIUNRU-1156379521-3724</_dlc_DocId>
    <_dlc_DocIdUrl xmlns="71c5aaf6-e6ce-465b-b873-5148d2a4c105">
      <Url>https://nokia.sharepoint.com/sites/c5g/e2earch/_layouts/15/DocIdRedir.aspx?ID=5AIRPNAIUNRU-1156379521-3724</Url>
      <Description>5AIRPNAIUNRU-1156379521-3724</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8A892018-84B2-4EB8-9EF7-68EA5D35C581}">
  <ds:schemaRefs>
    <ds:schemaRef ds:uri="http://schemas.microsoft.com/sharepoint/v3/contenttype/forms"/>
  </ds:schemaRefs>
</ds:datastoreItem>
</file>

<file path=customXml/itemProps2.xml><?xml version="1.0" encoding="utf-8"?>
<ds:datastoreItem xmlns:ds="http://schemas.openxmlformats.org/officeDocument/2006/customXml" ds:itemID="{7966C0CC-03CD-43F7-B59E-054173383C43}">
  <ds:schemaRefs>
    <ds:schemaRef ds:uri="http://schemas.microsoft.com/sharepoint/events"/>
  </ds:schemaRefs>
</ds:datastoreItem>
</file>

<file path=customXml/itemProps3.xml><?xml version="1.0" encoding="utf-8"?>
<ds:datastoreItem xmlns:ds="http://schemas.openxmlformats.org/officeDocument/2006/customXml" ds:itemID="{8CBE53CB-51E4-4257-A567-8733951122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F427E8A-ECBA-4356-A37E-3B710EDE13F5}">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D0EAD462-4139-4C44-B863-2822DD1CE933}">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50</TotalTime>
  <Pages>4</Pages>
  <Words>2031</Words>
  <Characters>11580</Characters>
  <Application>Microsoft Office Word</Application>
  <DocSecurity>0</DocSecurity>
  <Lines>96</Lines>
  <Paragraphs>27</Paragraphs>
  <ScaleCrop>false</ScaleCrop>
  <Company>Nokia Siemens Networks</Company>
  <LinksUpToDate>false</LinksUpToDate>
  <CharactersWithSpaces>13584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Arled Papa (Nokia)</cp:lastModifiedBy>
  <cp:revision>134</cp:revision>
  <dcterms:created xsi:type="dcterms:W3CDTF">2023-05-08T07:17:00Z</dcterms:created>
  <dcterms:modified xsi:type="dcterms:W3CDTF">2023-05-10T13:07:00Z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0x010100518683DDB4CB714487F91A3B9BBBA0AA</vt:lpwstr>
  </property>
  <property fmtid="{D5CDD505-2E9C-101B-9397-08002B2CF9AE}" pid="3" name="_dlc_DocIdItemGuid">
    <vt:lpwstr>7ae2c5ad-ce18-43ef-951d-5fe2a3ba0192</vt:lpwstr>
  </property>
</Properties>
</file>